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DB5A" w14:textId="77777777" w:rsidR="009128A0" w:rsidRDefault="008E34B7">
      <w:pPr>
        <w:pStyle w:val="3Policytitle"/>
        <w:jc w:val="center"/>
        <w:rPr>
          <w:rFonts w:ascii="Calibri" w:hAnsi="Calibri"/>
          <w:color w:val="000000" w:themeColor="text1"/>
        </w:rPr>
      </w:pPr>
      <w:r>
        <w:rPr>
          <w:rFonts w:ascii="Calibri" w:hAnsi="Calibri"/>
          <w:noProof/>
          <w:color w:val="000000" w:themeColor="text1"/>
          <w:lang w:val="en-GB" w:eastAsia="en-GB"/>
        </w:rPr>
        <w:drawing>
          <wp:inline distT="0" distB="0" distL="0" distR="0" wp14:anchorId="1D6BEAFE" wp14:editId="6DB2A892">
            <wp:extent cx="2819400" cy="2552700"/>
            <wp:effectExtent l="0" t="0" r="0" b="0"/>
            <wp:docPr id="6" name="Picture 6" descr="k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g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2552700"/>
                    </a:xfrm>
                    <a:prstGeom prst="rect">
                      <a:avLst/>
                    </a:prstGeom>
                    <a:noFill/>
                    <a:ln>
                      <a:noFill/>
                    </a:ln>
                  </pic:spPr>
                </pic:pic>
              </a:graphicData>
            </a:graphic>
          </wp:inline>
        </w:drawing>
      </w:r>
    </w:p>
    <w:p w14:paraId="172CFBB7" w14:textId="77777777" w:rsidR="009128A0" w:rsidRDefault="009128A0">
      <w:pPr>
        <w:pStyle w:val="3Policytitle"/>
        <w:rPr>
          <w:rFonts w:ascii="Calibri" w:hAnsi="Calibri"/>
          <w:color w:val="000000" w:themeColor="text1"/>
        </w:rPr>
      </w:pPr>
    </w:p>
    <w:p w14:paraId="33C1643D" w14:textId="77777777" w:rsidR="009128A0" w:rsidRDefault="009128A0">
      <w:pPr>
        <w:pStyle w:val="3Policytitle"/>
        <w:rPr>
          <w:rFonts w:ascii="Calibri" w:hAnsi="Calibri"/>
          <w:color w:val="000000" w:themeColor="text1"/>
        </w:rPr>
      </w:pPr>
    </w:p>
    <w:p w14:paraId="1D2F39F3" w14:textId="77777777" w:rsidR="009128A0" w:rsidRDefault="008E34B7">
      <w:pPr>
        <w:pStyle w:val="3Policytitle"/>
        <w:jc w:val="center"/>
        <w:rPr>
          <w:rFonts w:ascii="Calibri" w:hAnsi="Calibri"/>
          <w:color w:val="000000" w:themeColor="text1"/>
        </w:rPr>
      </w:pPr>
      <w:r>
        <w:rPr>
          <w:rFonts w:ascii="Calibri" w:hAnsi="Calibri"/>
          <w:color w:val="000000" w:themeColor="text1"/>
        </w:rPr>
        <w:t>Early Career Teacher (ECT) Induction Policy</w:t>
      </w:r>
    </w:p>
    <w:p w14:paraId="37CEE530" w14:textId="77777777" w:rsidR="009128A0" w:rsidRDefault="008E34B7">
      <w:pPr>
        <w:pStyle w:val="3Policytitle"/>
        <w:jc w:val="center"/>
        <w:rPr>
          <w:rFonts w:ascii="Calibri" w:hAnsi="Calibri"/>
          <w:color w:val="000000" w:themeColor="text1"/>
        </w:rPr>
      </w:pPr>
      <w:r>
        <w:rPr>
          <w:rFonts w:ascii="Calibri" w:hAnsi="Calibri"/>
          <w:color w:val="000000" w:themeColor="text1"/>
        </w:rPr>
        <w:t>202</w:t>
      </w:r>
      <w:r w:rsidR="0056029E">
        <w:rPr>
          <w:rFonts w:ascii="Calibri" w:hAnsi="Calibri"/>
          <w:color w:val="000000" w:themeColor="text1"/>
        </w:rPr>
        <w:t>4</w:t>
      </w:r>
      <w:r>
        <w:rPr>
          <w:rFonts w:ascii="Calibri" w:hAnsi="Calibri"/>
          <w:color w:val="000000" w:themeColor="text1"/>
        </w:rPr>
        <w:t>-202</w:t>
      </w:r>
      <w:r w:rsidR="0056029E">
        <w:rPr>
          <w:rFonts w:ascii="Calibri" w:hAnsi="Calibri"/>
          <w:color w:val="000000" w:themeColor="text1"/>
        </w:rPr>
        <w:t>5</w:t>
      </w:r>
    </w:p>
    <w:p w14:paraId="173B27F9" w14:textId="77777777" w:rsidR="009128A0" w:rsidRDefault="009128A0">
      <w:pPr>
        <w:pStyle w:val="1bodycopy10pt"/>
        <w:rPr>
          <w:rFonts w:ascii="Calibri" w:hAnsi="Calibri"/>
          <w:color w:val="000000" w:themeColor="text1"/>
        </w:rPr>
      </w:pPr>
    </w:p>
    <w:p w14:paraId="53794483" w14:textId="77777777" w:rsidR="009128A0" w:rsidRDefault="009128A0">
      <w:pPr>
        <w:pStyle w:val="1bodycopy10pt"/>
        <w:rPr>
          <w:rFonts w:ascii="Calibri" w:hAnsi="Calibri"/>
          <w:noProof/>
          <w:color w:val="000000" w:themeColor="text1"/>
          <w:szCs w:val="20"/>
        </w:rPr>
      </w:pPr>
    </w:p>
    <w:p w14:paraId="6E46333F" w14:textId="77777777" w:rsidR="009128A0" w:rsidRDefault="009128A0">
      <w:pPr>
        <w:pStyle w:val="1bodycopy10pt"/>
        <w:rPr>
          <w:rFonts w:ascii="Calibri" w:hAnsi="Calibri"/>
          <w:noProof/>
          <w:color w:val="000000" w:themeColor="text1"/>
        </w:rPr>
      </w:pPr>
    </w:p>
    <w:p w14:paraId="1628FA0A" w14:textId="77777777" w:rsidR="009128A0" w:rsidRDefault="009128A0">
      <w:pPr>
        <w:pStyle w:val="1bodycopy10pt"/>
        <w:rPr>
          <w:rFonts w:ascii="Calibri" w:hAnsi="Calibri"/>
          <w:noProof/>
          <w:color w:val="000000" w:themeColor="text1"/>
        </w:rPr>
      </w:pPr>
    </w:p>
    <w:p w14:paraId="3D0D18BE" w14:textId="77777777" w:rsidR="009128A0" w:rsidRDefault="009128A0">
      <w:pPr>
        <w:pStyle w:val="1bodycopy10pt"/>
        <w:rPr>
          <w:rFonts w:ascii="Calibri" w:hAnsi="Calibri"/>
          <w:color w:val="000000" w:themeColor="text1"/>
        </w:rPr>
      </w:pPr>
    </w:p>
    <w:p w14:paraId="3A7AF2F6" w14:textId="77777777" w:rsidR="009128A0" w:rsidRDefault="009128A0">
      <w:pPr>
        <w:pStyle w:val="1bodycopy10pt"/>
        <w:rPr>
          <w:rFonts w:ascii="Calibri" w:hAnsi="Calibri"/>
          <w:color w:val="000000" w:themeColor="text1"/>
        </w:rPr>
      </w:pPr>
    </w:p>
    <w:p w14:paraId="19C79B37" w14:textId="77777777" w:rsidR="009128A0" w:rsidRDefault="009128A0">
      <w:pPr>
        <w:pStyle w:val="1bodycopy10pt"/>
        <w:rPr>
          <w:rFonts w:ascii="Calibri" w:hAnsi="Calibri"/>
          <w:color w:val="000000" w:themeColor="text1"/>
        </w:rPr>
      </w:pPr>
    </w:p>
    <w:p w14:paraId="199A4A46" w14:textId="77777777" w:rsidR="009128A0" w:rsidRDefault="009128A0">
      <w:pPr>
        <w:pStyle w:val="1bodycopy10pt"/>
        <w:rPr>
          <w:rFonts w:ascii="Calibri" w:hAnsi="Calibri"/>
          <w:color w:val="000000" w:themeColor="text1"/>
        </w:rPr>
      </w:pPr>
    </w:p>
    <w:p w14:paraId="4F20293C" w14:textId="77777777" w:rsidR="009128A0" w:rsidRDefault="009128A0">
      <w:pPr>
        <w:pStyle w:val="1bodycopy10pt"/>
        <w:rPr>
          <w:rFonts w:ascii="Calibri" w:hAnsi="Calibri"/>
          <w:color w:val="000000" w:themeColor="text1"/>
        </w:rPr>
      </w:pPr>
    </w:p>
    <w:p w14:paraId="1FDAB96B" w14:textId="77777777" w:rsidR="009128A0" w:rsidRDefault="009128A0">
      <w:pPr>
        <w:pStyle w:val="1bodycopy10pt"/>
        <w:rPr>
          <w:rFonts w:ascii="Calibri" w:hAnsi="Calibri"/>
          <w:color w:val="000000" w:themeColor="text1"/>
        </w:rPr>
      </w:pPr>
    </w:p>
    <w:p w14:paraId="3CA0368E" w14:textId="77777777" w:rsidR="009128A0" w:rsidRDefault="008E34B7">
      <w:pPr>
        <w:spacing w:after="0"/>
        <w:jc w:val="center"/>
        <w:rPr>
          <w:rFonts w:ascii="Calibri" w:hAnsi="Calibri" w:cs="Calibri"/>
          <w:b/>
          <w:i/>
          <w:color w:val="000000" w:themeColor="text1"/>
          <w:sz w:val="40"/>
          <w:szCs w:val="40"/>
        </w:rPr>
      </w:pPr>
      <w:r>
        <w:rPr>
          <w:rFonts w:ascii="Calibri" w:hAnsi="Calibri" w:cs="Calibri"/>
          <w:b/>
          <w:i/>
          <w:color w:val="000000" w:themeColor="text1"/>
          <w:sz w:val="40"/>
          <w:szCs w:val="40"/>
        </w:rPr>
        <w:t>‘Work hard and be kind.’</w:t>
      </w:r>
    </w:p>
    <w:p w14:paraId="040A625B" w14:textId="77777777" w:rsidR="00481A0F" w:rsidRDefault="00481A0F">
      <w:pPr>
        <w:spacing w:after="0"/>
        <w:jc w:val="center"/>
        <w:rPr>
          <w:rFonts w:ascii="Calibri" w:hAnsi="Calibri" w:cs="Calibri"/>
          <w:b/>
          <w:i/>
          <w:color w:val="000000" w:themeColor="text1"/>
          <w:sz w:val="40"/>
          <w:szCs w:val="40"/>
        </w:rPr>
      </w:pPr>
    </w:p>
    <w:p w14:paraId="6959CA10" w14:textId="77777777" w:rsidR="009128A0" w:rsidRDefault="009128A0">
      <w:pPr>
        <w:rPr>
          <w:rFonts w:ascii="Calibri" w:hAnsi="Calibri"/>
          <w:b/>
          <w:color w:val="000000" w:themeColor="text1"/>
        </w:rPr>
      </w:pPr>
    </w:p>
    <w:p w14:paraId="34A9B7E8" w14:textId="77777777" w:rsidR="009128A0" w:rsidRDefault="009128A0">
      <w:pPr>
        <w:spacing w:after="0"/>
        <w:jc w:val="center"/>
        <w:rPr>
          <w:rFonts w:ascii="Calibri" w:eastAsia="Times New Roman" w:hAnsi="Calibri" w:cs="Calibri"/>
          <w:b/>
          <w:color w:val="000000" w:themeColor="text1"/>
          <w:sz w:val="28"/>
        </w:rPr>
      </w:pPr>
    </w:p>
    <w:p w14:paraId="6E010EED" w14:textId="77777777" w:rsidR="009128A0" w:rsidRDefault="008E34B7">
      <w:pPr>
        <w:spacing w:after="0"/>
        <w:jc w:val="center"/>
        <w:rPr>
          <w:rFonts w:ascii="Calibri" w:eastAsia="Times New Roman" w:hAnsi="Calibri" w:cs="Calibri"/>
          <w:b/>
          <w:color w:val="000000" w:themeColor="text1"/>
          <w:sz w:val="28"/>
        </w:rPr>
      </w:pPr>
      <w:r>
        <w:rPr>
          <w:rFonts w:ascii="Calibri" w:eastAsia="Times New Roman" w:hAnsi="Calibri" w:cs="Calibri"/>
          <w:b/>
          <w:color w:val="000000" w:themeColor="text1"/>
          <w:sz w:val="28"/>
        </w:rPr>
        <w:lastRenderedPageBreak/>
        <w:t>POLICY REVIEW AND AMENDMENT LOG</w:t>
      </w:r>
    </w:p>
    <w:p w14:paraId="39A69D86" w14:textId="77777777" w:rsidR="009128A0" w:rsidRDefault="009128A0">
      <w:pPr>
        <w:spacing w:after="0"/>
        <w:jc w:val="center"/>
        <w:rPr>
          <w:rFonts w:ascii="Calibri" w:eastAsia="Times New Roman" w:hAnsi="Calibri" w:cs="Calibri"/>
          <w:b/>
          <w:color w:val="000000" w:themeColor="text1"/>
          <w:sz w:val="24"/>
        </w:rPr>
      </w:pPr>
    </w:p>
    <w:p w14:paraId="47F5E83C" w14:textId="77777777" w:rsidR="009128A0" w:rsidRDefault="009128A0">
      <w:pPr>
        <w:spacing w:after="0"/>
        <w:rPr>
          <w:rFonts w:ascii="Calibri" w:eastAsia="Times New Roman" w:hAnsi="Calibri" w:cs="Calibri"/>
          <w:b/>
          <w:color w:val="000000" w:themeColor="text1"/>
          <w:sz w:val="24"/>
        </w:rPr>
      </w:pPr>
    </w:p>
    <w:p w14:paraId="3FDB155F" w14:textId="77777777" w:rsidR="009128A0" w:rsidRDefault="008E34B7">
      <w:pPr>
        <w:spacing w:after="0"/>
        <w:rPr>
          <w:rFonts w:ascii="Calibri" w:hAnsi="Calibri" w:cs="Calibri"/>
          <w:b/>
          <w:color w:val="000000" w:themeColor="text1"/>
          <w:sz w:val="24"/>
        </w:rPr>
      </w:pPr>
      <w:r>
        <w:rPr>
          <w:rFonts w:ascii="Calibri" w:hAnsi="Calibri" w:cs="Calibri"/>
          <w:b/>
          <w:color w:val="000000" w:themeColor="text1"/>
          <w:sz w:val="24"/>
        </w:rPr>
        <w:t>Status &amp; Review Cycle:</w:t>
      </w:r>
      <w:r>
        <w:rPr>
          <w:rFonts w:ascii="Calibri" w:hAnsi="Calibri" w:cs="Calibri"/>
          <w:b/>
          <w:color w:val="000000" w:themeColor="text1"/>
          <w:sz w:val="24"/>
        </w:rPr>
        <w:tab/>
      </w:r>
      <w:r>
        <w:rPr>
          <w:rFonts w:ascii="Calibri" w:hAnsi="Calibri" w:cs="Calibri"/>
          <w:b/>
          <w:color w:val="000000" w:themeColor="text1"/>
          <w:sz w:val="24"/>
        </w:rPr>
        <w:tab/>
        <w:t>Statutory, annually</w:t>
      </w:r>
    </w:p>
    <w:p w14:paraId="52CFB39A" w14:textId="77777777" w:rsidR="009128A0" w:rsidRDefault="008E34B7">
      <w:pPr>
        <w:spacing w:after="0"/>
        <w:rPr>
          <w:rFonts w:ascii="Calibri" w:eastAsia="Times New Roman" w:hAnsi="Calibri" w:cs="Calibri"/>
          <w:b/>
          <w:color w:val="000000" w:themeColor="text1"/>
          <w:sz w:val="24"/>
        </w:rPr>
      </w:pPr>
      <w:r>
        <w:rPr>
          <w:rFonts w:ascii="Calibri" w:eastAsia="Times New Roman" w:hAnsi="Calibri" w:cs="Calibri"/>
          <w:b/>
          <w:color w:val="000000" w:themeColor="text1"/>
          <w:sz w:val="24"/>
        </w:rPr>
        <w:t xml:space="preserve">Next review date: </w:t>
      </w:r>
      <w:r>
        <w:rPr>
          <w:rFonts w:ascii="Calibri" w:eastAsia="Times New Roman" w:hAnsi="Calibri" w:cs="Calibri"/>
          <w:b/>
          <w:color w:val="000000" w:themeColor="text1"/>
          <w:sz w:val="24"/>
        </w:rPr>
        <w:tab/>
      </w:r>
      <w:r>
        <w:rPr>
          <w:rFonts w:ascii="Calibri" w:eastAsia="Times New Roman" w:hAnsi="Calibri" w:cs="Calibri"/>
          <w:b/>
          <w:color w:val="000000" w:themeColor="text1"/>
          <w:sz w:val="24"/>
        </w:rPr>
        <w:tab/>
      </w:r>
      <w:r>
        <w:rPr>
          <w:rFonts w:ascii="Calibri" w:eastAsia="Times New Roman" w:hAnsi="Calibri" w:cs="Calibri"/>
          <w:b/>
          <w:color w:val="000000" w:themeColor="text1"/>
          <w:sz w:val="24"/>
        </w:rPr>
        <w:tab/>
        <w:t>September 2023</w:t>
      </w:r>
    </w:p>
    <w:p w14:paraId="052A0FD6" w14:textId="77777777" w:rsidR="009128A0" w:rsidRDefault="009128A0">
      <w:pPr>
        <w:spacing w:after="0"/>
        <w:rPr>
          <w:rFonts w:ascii="Calibri" w:eastAsia="Times New Roman" w:hAnsi="Calibri" w:cs="Calibri"/>
          <w:b/>
          <w:color w:val="000000" w:themeColor="text1"/>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552"/>
        <w:gridCol w:w="2977"/>
      </w:tblGrid>
      <w:tr w:rsidR="009128A0" w14:paraId="76CC682E" w14:textId="77777777">
        <w:tc>
          <w:tcPr>
            <w:tcW w:w="1951" w:type="dxa"/>
            <w:tcBorders>
              <w:bottom w:val="nil"/>
            </w:tcBorders>
          </w:tcPr>
          <w:p w14:paraId="39AE4601" w14:textId="77777777" w:rsidR="009128A0" w:rsidRDefault="008E34B7">
            <w:pPr>
              <w:spacing w:after="0"/>
              <w:jc w:val="center"/>
              <w:rPr>
                <w:rFonts w:ascii="Calibri" w:eastAsia="Times New Roman" w:hAnsi="Calibri" w:cs="Calibri"/>
                <w:b/>
                <w:color w:val="000000" w:themeColor="text1"/>
                <w:sz w:val="24"/>
              </w:rPr>
            </w:pPr>
            <w:r>
              <w:rPr>
                <w:rFonts w:ascii="Calibri" w:eastAsia="Times New Roman" w:hAnsi="Calibri" w:cs="Calibri"/>
                <w:b/>
                <w:color w:val="000000" w:themeColor="text1"/>
                <w:sz w:val="24"/>
              </w:rPr>
              <w:t>Reviewed By</w:t>
            </w:r>
          </w:p>
        </w:tc>
        <w:tc>
          <w:tcPr>
            <w:tcW w:w="2126" w:type="dxa"/>
            <w:tcBorders>
              <w:bottom w:val="nil"/>
            </w:tcBorders>
          </w:tcPr>
          <w:p w14:paraId="6DC07638" w14:textId="77777777" w:rsidR="009128A0" w:rsidRDefault="008E34B7">
            <w:pPr>
              <w:spacing w:after="0"/>
              <w:jc w:val="center"/>
              <w:rPr>
                <w:rFonts w:ascii="Calibri" w:eastAsia="Times New Roman" w:hAnsi="Calibri" w:cs="Calibri"/>
                <w:b/>
                <w:color w:val="000000" w:themeColor="text1"/>
                <w:sz w:val="24"/>
              </w:rPr>
            </w:pPr>
            <w:r>
              <w:rPr>
                <w:rFonts w:ascii="Calibri" w:eastAsia="Times New Roman" w:hAnsi="Calibri" w:cs="Calibri"/>
                <w:b/>
                <w:color w:val="000000" w:themeColor="text1"/>
                <w:sz w:val="24"/>
              </w:rPr>
              <w:t>Review Date</w:t>
            </w:r>
          </w:p>
        </w:tc>
        <w:tc>
          <w:tcPr>
            <w:tcW w:w="2552" w:type="dxa"/>
            <w:tcBorders>
              <w:bottom w:val="nil"/>
            </w:tcBorders>
          </w:tcPr>
          <w:p w14:paraId="0B8424BA" w14:textId="77777777" w:rsidR="009128A0" w:rsidRDefault="008E34B7">
            <w:pPr>
              <w:spacing w:after="0"/>
              <w:jc w:val="center"/>
              <w:rPr>
                <w:rFonts w:ascii="Calibri" w:eastAsia="Times New Roman" w:hAnsi="Calibri" w:cs="Calibri"/>
                <w:b/>
                <w:color w:val="000000" w:themeColor="text1"/>
                <w:sz w:val="24"/>
              </w:rPr>
            </w:pPr>
            <w:r>
              <w:rPr>
                <w:rFonts w:ascii="Calibri" w:eastAsia="Times New Roman" w:hAnsi="Calibri" w:cs="Calibri"/>
                <w:b/>
                <w:color w:val="000000" w:themeColor="text1"/>
                <w:sz w:val="24"/>
              </w:rPr>
              <w:t>Reviewing Governor</w:t>
            </w:r>
          </w:p>
        </w:tc>
        <w:tc>
          <w:tcPr>
            <w:tcW w:w="2977" w:type="dxa"/>
            <w:tcBorders>
              <w:bottom w:val="nil"/>
            </w:tcBorders>
          </w:tcPr>
          <w:p w14:paraId="6781BA13" w14:textId="77777777" w:rsidR="009128A0" w:rsidRDefault="008E34B7">
            <w:pPr>
              <w:spacing w:after="0"/>
              <w:jc w:val="center"/>
              <w:rPr>
                <w:rFonts w:ascii="Calibri" w:eastAsia="Times New Roman" w:hAnsi="Calibri" w:cs="Calibri"/>
                <w:b/>
                <w:color w:val="000000" w:themeColor="text1"/>
                <w:sz w:val="24"/>
              </w:rPr>
            </w:pPr>
            <w:r>
              <w:rPr>
                <w:rFonts w:ascii="Calibri" w:eastAsia="Times New Roman" w:hAnsi="Calibri" w:cs="Calibri"/>
                <w:b/>
                <w:color w:val="000000" w:themeColor="text1"/>
                <w:sz w:val="24"/>
              </w:rPr>
              <w:t>Date Approved by Governing Body</w:t>
            </w:r>
          </w:p>
        </w:tc>
      </w:tr>
      <w:tr w:rsidR="009128A0" w14:paraId="1A550FDB" w14:textId="77777777" w:rsidTr="00244DAD">
        <w:trPr>
          <w:trHeight w:val="501"/>
        </w:trPr>
        <w:tc>
          <w:tcPr>
            <w:tcW w:w="1951" w:type="dxa"/>
          </w:tcPr>
          <w:p w14:paraId="1AC5A187" w14:textId="77777777"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Anna Wallis</w:t>
            </w:r>
          </w:p>
        </w:tc>
        <w:tc>
          <w:tcPr>
            <w:tcW w:w="2126" w:type="dxa"/>
          </w:tcPr>
          <w:p w14:paraId="2AD2726A" w14:textId="77777777"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March 2021</w:t>
            </w:r>
          </w:p>
        </w:tc>
        <w:tc>
          <w:tcPr>
            <w:tcW w:w="2552" w:type="dxa"/>
          </w:tcPr>
          <w:p w14:paraId="667C1317" w14:textId="77777777"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Mick Michell</w:t>
            </w:r>
          </w:p>
        </w:tc>
        <w:tc>
          <w:tcPr>
            <w:tcW w:w="2977" w:type="dxa"/>
          </w:tcPr>
          <w:p w14:paraId="40F5373E" w14:textId="77777777" w:rsidR="009128A0" w:rsidRDefault="008E34B7">
            <w:pPr>
              <w:spacing w:after="0"/>
              <w:jc w:val="center"/>
              <w:rPr>
                <w:rFonts w:ascii="Calibri" w:eastAsia="Times New Roman" w:hAnsi="Calibri" w:cs="Calibri"/>
                <w:color w:val="000000" w:themeColor="text1"/>
                <w:sz w:val="24"/>
              </w:rPr>
            </w:pPr>
            <w:r>
              <w:rPr>
                <w:rFonts w:ascii="Calibri" w:eastAsia="Times New Roman" w:hAnsi="Calibri" w:cs="Calibri"/>
                <w:color w:val="000000" w:themeColor="text1"/>
                <w:sz w:val="24"/>
              </w:rPr>
              <w:t>22/06/2021</w:t>
            </w:r>
          </w:p>
        </w:tc>
      </w:tr>
      <w:tr w:rsidR="009128A0" w14:paraId="24B83079" w14:textId="77777777">
        <w:trPr>
          <w:trHeight w:val="552"/>
        </w:trPr>
        <w:tc>
          <w:tcPr>
            <w:tcW w:w="1951" w:type="dxa"/>
          </w:tcPr>
          <w:p w14:paraId="4C4DFF3A" w14:textId="319DBACD"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D</w:t>
            </w:r>
            <w:r w:rsidR="006E3198">
              <w:rPr>
                <w:rFonts w:ascii="Calibri" w:eastAsia="Times New Roman" w:hAnsi="Calibri" w:cs="Calibri"/>
                <w:color w:val="000000" w:themeColor="text1"/>
                <w:sz w:val="24"/>
              </w:rPr>
              <w:t>ave</w:t>
            </w:r>
            <w:r>
              <w:rPr>
                <w:rFonts w:ascii="Calibri" w:eastAsia="Times New Roman" w:hAnsi="Calibri" w:cs="Calibri"/>
                <w:color w:val="000000" w:themeColor="text1"/>
                <w:sz w:val="24"/>
              </w:rPr>
              <w:t xml:space="preserve"> Ferguson</w:t>
            </w:r>
          </w:p>
        </w:tc>
        <w:tc>
          <w:tcPr>
            <w:tcW w:w="2126" w:type="dxa"/>
          </w:tcPr>
          <w:p w14:paraId="67453686" w14:textId="77777777"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Sept 2022</w:t>
            </w:r>
          </w:p>
        </w:tc>
        <w:tc>
          <w:tcPr>
            <w:tcW w:w="2552" w:type="dxa"/>
          </w:tcPr>
          <w:p w14:paraId="6549A671" w14:textId="77777777"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Mick Michell</w:t>
            </w:r>
          </w:p>
        </w:tc>
        <w:tc>
          <w:tcPr>
            <w:tcW w:w="2977" w:type="dxa"/>
          </w:tcPr>
          <w:p w14:paraId="55832F3E" w14:textId="02556CD6" w:rsidR="009128A0" w:rsidRDefault="007C7E64" w:rsidP="00244DAD">
            <w:pPr>
              <w:spacing w:after="0"/>
              <w:jc w:val="center"/>
              <w:rPr>
                <w:rFonts w:ascii="Calibri" w:eastAsia="Times New Roman" w:hAnsi="Calibri" w:cs="Calibri"/>
                <w:color w:val="000000" w:themeColor="text1"/>
                <w:sz w:val="24"/>
              </w:rPr>
            </w:pPr>
            <w:r>
              <w:rPr>
                <w:rFonts w:ascii="Calibri" w:eastAsia="Times New Roman" w:hAnsi="Calibri" w:cs="Calibri"/>
                <w:color w:val="000000" w:themeColor="text1"/>
                <w:sz w:val="24"/>
              </w:rPr>
              <w:t>13/10/</w:t>
            </w:r>
            <w:r w:rsidR="00244DAD">
              <w:rPr>
                <w:rFonts w:ascii="Calibri" w:eastAsia="Times New Roman" w:hAnsi="Calibri" w:cs="Calibri"/>
                <w:color w:val="000000" w:themeColor="text1"/>
                <w:sz w:val="24"/>
              </w:rPr>
              <w:t>2022</w:t>
            </w:r>
          </w:p>
        </w:tc>
      </w:tr>
      <w:tr w:rsidR="009128A0" w14:paraId="5E0576B5" w14:textId="77777777">
        <w:trPr>
          <w:trHeight w:val="552"/>
        </w:trPr>
        <w:tc>
          <w:tcPr>
            <w:tcW w:w="1951" w:type="dxa"/>
          </w:tcPr>
          <w:p w14:paraId="4928485B" w14:textId="3EF98D25"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D</w:t>
            </w:r>
            <w:r w:rsidR="006E3198">
              <w:rPr>
                <w:rFonts w:ascii="Calibri" w:eastAsia="Times New Roman" w:hAnsi="Calibri" w:cs="Calibri"/>
                <w:color w:val="000000" w:themeColor="text1"/>
                <w:sz w:val="24"/>
              </w:rPr>
              <w:t>ave</w:t>
            </w:r>
            <w:r>
              <w:rPr>
                <w:rFonts w:ascii="Calibri" w:eastAsia="Times New Roman" w:hAnsi="Calibri" w:cs="Calibri"/>
                <w:color w:val="000000" w:themeColor="text1"/>
                <w:sz w:val="24"/>
              </w:rPr>
              <w:t xml:space="preserve"> Ferguson</w:t>
            </w:r>
          </w:p>
        </w:tc>
        <w:tc>
          <w:tcPr>
            <w:tcW w:w="2126" w:type="dxa"/>
          </w:tcPr>
          <w:p w14:paraId="296C9FF4" w14:textId="77777777" w:rsidR="009128A0" w:rsidRDefault="008E34B7">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July 2023</w:t>
            </w:r>
          </w:p>
        </w:tc>
        <w:tc>
          <w:tcPr>
            <w:tcW w:w="2552" w:type="dxa"/>
          </w:tcPr>
          <w:p w14:paraId="474125C3" w14:textId="6EA8BF7B" w:rsidR="009128A0" w:rsidRDefault="006E3198" w:rsidP="007E19DD">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Jo Oliver</w:t>
            </w:r>
          </w:p>
        </w:tc>
        <w:tc>
          <w:tcPr>
            <w:tcW w:w="2977" w:type="dxa"/>
          </w:tcPr>
          <w:p w14:paraId="295286AD" w14:textId="2AC7DE4A" w:rsidR="009128A0" w:rsidRDefault="006E3198" w:rsidP="007E19DD">
            <w:pPr>
              <w:spacing w:after="0"/>
              <w:jc w:val="center"/>
              <w:rPr>
                <w:rFonts w:ascii="Calibri" w:eastAsia="Times New Roman" w:hAnsi="Calibri" w:cs="Calibri"/>
                <w:color w:val="000000" w:themeColor="text1"/>
                <w:sz w:val="24"/>
              </w:rPr>
            </w:pPr>
            <w:r>
              <w:rPr>
                <w:rFonts w:ascii="Calibri" w:eastAsia="Times New Roman" w:hAnsi="Calibri" w:cs="Calibri"/>
                <w:color w:val="000000" w:themeColor="text1"/>
                <w:sz w:val="24"/>
              </w:rPr>
              <w:t>12</w:t>
            </w:r>
            <w:r w:rsidR="007E19DD">
              <w:rPr>
                <w:rFonts w:ascii="Calibri" w:eastAsia="Times New Roman" w:hAnsi="Calibri" w:cs="Calibri"/>
                <w:color w:val="000000" w:themeColor="text1"/>
                <w:sz w:val="24"/>
              </w:rPr>
              <w:t>/10/2023</w:t>
            </w:r>
          </w:p>
        </w:tc>
      </w:tr>
      <w:tr w:rsidR="009128A0" w14:paraId="0C834A6B" w14:textId="77777777">
        <w:trPr>
          <w:trHeight w:val="552"/>
        </w:trPr>
        <w:tc>
          <w:tcPr>
            <w:tcW w:w="1951" w:type="dxa"/>
          </w:tcPr>
          <w:p w14:paraId="12A7F21F" w14:textId="5DD059B2" w:rsidR="009128A0" w:rsidRDefault="00431666">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D</w:t>
            </w:r>
            <w:r w:rsidR="006E3198">
              <w:rPr>
                <w:rFonts w:ascii="Calibri" w:eastAsia="Times New Roman" w:hAnsi="Calibri" w:cs="Calibri"/>
                <w:color w:val="000000" w:themeColor="text1"/>
                <w:sz w:val="24"/>
              </w:rPr>
              <w:t>ave</w:t>
            </w:r>
            <w:r>
              <w:rPr>
                <w:rFonts w:ascii="Calibri" w:eastAsia="Times New Roman" w:hAnsi="Calibri" w:cs="Calibri"/>
                <w:color w:val="000000" w:themeColor="text1"/>
                <w:sz w:val="24"/>
              </w:rPr>
              <w:t xml:space="preserve"> Ferguson</w:t>
            </w:r>
          </w:p>
        </w:tc>
        <w:tc>
          <w:tcPr>
            <w:tcW w:w="2126" w:type="dxa"/>
          </w:tcPr>
          <w:p w14:paraId="5000461C" w14:textId="77777777" w:rsidR="009128A0" w:rsidRDefault="00431666">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Sept 2024</w:t>
            </w:r>
          </w:p>
        </w:tc>
        <w:tc>
          <w:tcPr>
            <w:tcW w:w="2552" w:type="dxa"/>
          </w:tcPr>
          <w:p w14:paraId="358E7883" w14:textId="40D36A07" w:rsidR="009128A0" w:rsidRDefault="00244DAD" w:rsidP="00467863">
            <w:pPr>
              <w:spacing w:after="0"/>
              <w:rPr>
                <w:rFonts w:ascii="Calibri" w:eastAsia="Times New Roman" w:hAnsi="Calibri" w:cs="Calibri"/>
                <w:color w:val="000000" w:themeColor="text1"/>
                <w:sz w:val="24"/>
              </w:rPr>
            </w:pPr>
            <w:r>
              <w:rPr>
                <w:rFonts w:ascii="Calibri" w:eastAsia="Times New Roman" w:hAnsi="Calibri" w:cs="Calibri"/>
                <w:color w:val="000000" w:themeColor="text1"/>
                <w:sz w:val="24"/>
              </w:rPr>
              <w:t>Jo Oliver</w:t>
            </w:r>
          </w:p>
        </w:tc>
        <w:tc>
          <w:tcPr>
            <w:tcW w:w="2977" w:type="dxa"/>
          </w:tcPr>
          <w:p w14:paraId="35B21959" w14:textId="4876FCA4" w:rsidR="009128A0" w:rsidRDefault="00467863" w:rsidP="00467863">
            <w:pPr>
              <w:spacing w:after="0"/>
              <w:jc w:val="center"/>
              <w:rPr>
                <w:rFonts w:ascii="Calibri" w:eastAsia="Times New Roman" w:hAnsi="Calibri" w:cs="Calibri"/>
                <w:color w:val="000000" w:themeColor="text1"/>
                <w:sz w:val="24"/>
              </w:rPr>
            </w:pPr>
            <w:r>
              <w:rPr>
                <w:rFonts w:ascii="Calibri" w:eastAsia="Times New Roman" w:hAnsi="Calibri" w:cs="Calibri"/>
                <w:color w:val="000000" w:themeColor="text1"/>
                <w:sz w:val="24"/>
              </w:rPr>
              <w:t>23/01/2025</w:t>
            </w:r>
          </w:p>
        </w:tc>
      </w:tr>
      <w:tr w:rsidR="009128A0" w14:paraId="558D9A30" w14:textId="77777777">
        <w:trPr>
          <w:trHeight w:val="552"/>
        </w:trPr>
        <w:tc>
          <w:tcPr>
            <w:tcW w:w="1951" w:type="dxa"/>
          </w:tcPr>
          <w:p w14:paraId="23CAB19B" w14:textId="77777777" w:rsidR="009128A0" w:rsidRDefault="009128A0">
            <w:pPr>
              <w:spacing w:after="0"/>
              <w:rPr>
                <w:rFonts w:ascii="Calibri" w:eastAsia="Times New Roman" w:hAnsi="Calibri" w:cs="Calibri"/>
                <w:color w:val="000000" w:themeColor="text1"/>
                <w:sz w:val="24"/>
              </w:rPr>
            </w:pPr>
          </w:p>
        </w:tc>
        <w:tc>
          <w:tcPr>
            <w:tcW w:w="2126" w:type="dxa"/>
          </w:tcPr>
          <w:p w14:paraId="320C4CC5" w14:textId="77777777" w:rsidR="009128A0" w:rsidRDefault="009128A0">
            <w:pPr>
              <w:spacing w:after="0"/>
              <w:rPr>
                <w:rFonts w:ascii="Calibri" w:eastAsia="Times New Roman" w:hAnsi="Calibri" w:cs="Calibri"/>
                <w:color w:val="000000" w:themeColor="text1"/>
                <w:sz w:val="24"/>
              </w:rPr>
            </w:pPr>
          </w:p>
        </w:tc>
        <w:tc>
          <w:tcPr>
            <w:tcW w:w="2552" w:type="dxa"/>
          </w:tcPr>
          <w:p w14:paraId="1CE9E3A8" w14:textId="77777777" w:rsidR="009128A0" w:rsidRDefault="009128A0">
            <w:pPr>
              <w:spacing w:after="0"/>
              <w:rPr>
                <w:rFonts w:ascii="Calibri" w:eastAsia="Times New Roman" w:hAnsi="Calibri" w:cs="Calibri"/>
                <w:color w:val="000000" w:themeColor="text1"/>
                <w:sz w:val="24"/>
              </w:rPr>
            </w:pPr>
          </w:p>
        </w:tc>
        <w:tc>
          <w:tcPr>
            <w:tcW w:w="2977" w:type="dxa"/>
          </w:tcPr>
          <w:p w14:paraId="53CF5F73" w14:textId="77777777" w:rsidR="009128A0" w:rsidRDefault="009128A0">
            <w:pPr>
              <w:spacing w:after="0"/>
              <w:rPr>
                <w:rFonts w:ascii="Calibri" w:eastAsia="Times New Roman" w:hAnsi="Calibri" w:cs="Calibri"/>
                <w:color w:val="000000" w:themeColor="text1"/>
                <w:sz w:val="24"/>
              </w:rPr>
            </w:pPr>
          </w:p>
        </w:tc>
      </w:tr>
      <w:tr w:rsidR="009128A0" w14:paraId="574DC450" w14:textId="77777777">
        <w:trPr>
          <w:trHeight w:val="552"/>
        </w:trPr>
        <w:tc>
          <w:tcPr>
            <w:tcW w:w="1951" w:type="dxa"/>
          </w:tcPr>
          <w:p w14:paraId="3461145B" w14:textId="77777777" w:rsidR="009128A0" w:rsidRDefault="009128A0">
            <w:pPr>
              <w:spacing w:after="0"/>
              <w:rPr>
                <w:rFonts w:ascii="Calibri" w:eastAsia="Times New Roman" w:hAnsi="Calibri" w:cs="Calibri"/>
                <w:color w:val="000000" w:themeColor="text1"/>
                <w:sz w:val="24"/>
              </w:rPr>
            </w:pPr>
          </w:p>
        </w:tc>
        <w:tc>
          <w:tcPr>
            <w:tcW w:w="2126" w:type="dxa"/>
          </w:tcPr>
          <w:p w14:paraId="0B56B6A3" w14:textId="77777777" w:rsidR="009128A0" w:rsidRDefault="009128A0">
            <w:pPr>
              <w:spacing w:after="0"/>
              <w:rPr>
                <w:rFonts w:ascii="Calibri" w:eastAsia="Times New Roman" w:hAnsi="Calibri" w:cs="Calibri"/>
                <w:color w:val="000000" w:themeColor="text1"/>
                <w:sz w:val="24"/>
              </w:rPr>
            </w:pPr>
          </w:p>
        </w:tc>
        <w:tc>
          <w:tcPr>
            <w:tcW w:w="2552" w:type="dxa"/>
          </w:tcPr>
          <w:p w14:paraId="18A93AF2" w14:textId="77777777" w:rsidR="009128A0" w:rsidRDefault="009128A0">
            <w:pPr>
              <w:spacing w:after="0"/>
              <w:rPr>
                <w:rFonts w:ascii="Calibri" w:eastAsia="Times New Roman" w:hAnsi="Calibri" w:cs="Calibri"/>
                <w:color w:val="000000" w:themeColor="text1"/>
                <w:sz w:val="24"/>
              </w:rPr>
            </w:pPr>
          </w:p>
        </w:tc>
        <w:tc>
          <w:tcPr>
            <w:tcW w:w="2977" w:type="dxa"/>
          </w:tcPr>
          <w:p w14:paraId="2F472471" w14:textId="77777777" w:rsidR="009128A0" w:rsidRDefault="009128A0">
            <w:pPr>
              <w:spacing w:after="0"/>
              <w:rPr>
                <w:rFonts w:ascii="Calibri" w:eastAsia="Times New Roman" w:hAnsi="Calibri" w:cs="Calibri"/>
                <w:color w:val="000000" w:themeColor="text1"/>
                <w:sz w:val="24"/>
              </w:rPr>
            </w:pPr>
          </w:p>
        </w:tc>
      </w:tr>
      <w:tr w:rsidR="009128A0" w14:paraId="229B2AC6" w14:textId="77777777">
        <w:trPr>
          <w:trHeight w:val="552"/>
        </w:trPr>
        <w:tc>
          <w:tcPr>
            <w:tcW w:w="1951" w:type="dxa"/>
          </w:tcPr>
          <w:p w14:paraId="5D7112EB" w14:textId="77777777" w:rsidR="009128A0" w:rsidRDefault="009128A0">
            <w:pPr>
              <w:spacing w:after="0"/>
              <w:rPr>
                <w:rFonts w:ascii="Calibri" w:eastAsia="Times New Roman" w:hAnsi="Calibri" w:cs="Calibri"/>
                <w:color w:val="000000" w:themeColor="text1"/>
                <w:sz w:val="24"/>
              </w:rPr>
            </w:pPr>
          </w:p>
        </w:tc>
        <w:tc>
          <w:tcPr>
            <w:tcW w:w="2126" w:type="dxa"/>
          </w:tcPr>
          <w:p w14:paraId="55EFA3C0" w14:textId="77777777" w:rsidR="009128A0" w:rsidRDefault="009128A0">
            <w:pPr>
              <w:spacing w:after="0"/>
              <w:rPr>
                <w:rFonts w:ascii="Calibri" w:eastAsia="Times New Roman" w:hAnsi="Calibri" w:cs="Calibri"/>
                <w:color w:val="000000" w:themeColor="text1"/>
                <w:sz w:val="24"/>
              </w:rPr>
            </w:pPr>
          </w:p>
        </w:tc>
        <w:tc>
          <w:tcPr>
            <w:tcW w:w="2552" w:type="dxa"/>
          </w:tcPr>
          <w:p w14:paraId="6569E98B" w14:textId="77777777" w:rsidR="009128A0" w:rsidRDefault="009128A0">
            <w:pPr>
              <w:spacing w:after="0"/>
              <w:rPr>
                <w:rFonts w:ascii="Calibri" w:eastAsia="Times New Roman" w:hAnsi="Calibri" w:cs="Calibri"/>
                <w:color w:val="000000" w:themeColor="text1"/>
                <w:sz w:val="24"/>
              </w:rPr>
            </w:pPr>
          </w:p>
        </w:tc>
        <w:tc>
          <w:tcPr>
            <w:tcW w:w="2977" w:type="dxa"/>
          </w:tcPr>
          <w:p w14:paraId="2B316FCF" w14:textId="77777777" w:rsidR="009128A0" w:rsidRDefault="009128A0">
            <w:pPr>
              <w:spacing w:after="0"/>
              <w:rPr>
                <w:rFonts w:ascii="Calibri" w:eastAsia="Times New Roman" w:hAnsi="Calibri" w:cs="Calibri"/>
                <w:color w:val="000000" w:themeColor="text1"/>
                <w:sz w:val="24"/>
              </w:rPr>
            </w:pPr>
          </w:p>
        </w:tc>
      </w:tr>
      <w:tr w:rsidR="009128A0" w14:paraId="7DD54656" w14:textId="77777777">
        <w:trPr>
          <w:trHeight w:val="552"/>
        </w:trPr>
        <w:tc>
          <w:tcPr>
            <w:tcW w:w="1951" w:type="dxa"/>
          </w:tcPr>
          <w:p w14:paraId="35C4A7DA" w14:textId="77777777" w:rsidR="009128A0" w:rsidRDefault="009128A0">
            <w:pPr>
              <w:spacing w:after="0"/>
              <w:rPr>
                <w:rFonts w:ascii="Calibri" w:eastAsia="Times New Roman" w:hAnsi="Calibri" w:cs="Calibri"/>
                <w:color w:val="000000" w:themeColor="text1"/>
                <w:sz w:val="24"/>
              </w:rPr>
            </w:pPr>
          </w:p>
        </w:tc>
        <w:tc>
          <w:tcPr>
            <w:tcW w:w="2126" w:type="dxa"/>
          </w:tcPr>
          <w:p w14:paraId="54681955" w14:textId="77777777" w:rsidR="009128A0" w:rsidRDefault="009128A0">
            <w:pPr>
              <w:spacing w:after="0"/>
              <w:rPr>
                <w:rFonts w:ascii="Calibri" w:eastAsia="Times New Roman" w:hAnsi="Calibri" w:cs="Calibri"/>
                <w:color w:val="000000" w:themeColor="text1"/>
                <w:sz w:val="24"/>
              </w:rPr>
            </w:pPr>
          </w:p>
        </w:tc>
        <w:tc>
          <w:tcPr>
            <w:tcW w:w="2552" w:type="dxa"/>
          </w:tcPr>
          <w:p w14:paraId="38A0A221" w14:textId="77777777" w:rsidR="009128A0" w:rsidRDefault="009128A0">
            <w:pPr>
              <w:spacing w:after="0"/>
              <w:rPr>
                <w:rFonts w:ascii="Calibri" w:eastAsia="Times New Roman" w:hAnsi="Calibri" w:cs="Calibri"/>
                <w:color w:val="000000" w:themeColor="text1"/>
                <w:sz w:val="24"/>
              </w:rPr>
            </w:pPr>
          </w:p>
        </w:tc>
        <w:tc>
          <w:tcPr>
            <w:tcW w:w="2977" w:type="dxa"/>
          </w:tcPr>
          <w:p w14:paraId="05789413" w14:textId="77777777" w:rsidR="009128A0" w:rsidRDefault="009128A0">
            <w:pPr>
              <w:spacing w:after="0"/>
              <w:rPr>
                <w:rFonts w:ascii="Calibri" w:eastAsia="Times New Roman" w:hAnsi="Calibri" w:cs="Calibri"/>
                <w:color w:val="000000" w:themeColor="text1"/>
                <w:sz w:val="24"/>
              </w:rPr>
            </w:pPr>
          </w:p>
        </w:tc>
      </w:tr>
      <w:tr w:rsidR="009128A0" w14:paraId="4E8BFF3C" w14:textId="77777777">
        <w:trPr>
          <w:trHeight w:val="552"/>
        </w:trPr>
        <w:tc>
          <w:tcPr>
            <w:tcW w:w="1951" w:type="dxa"/>
          </w:tcPr>
          <w:p w14:paraId="79F83C3D" w14:textId="77777777" w:rsidR="009128A0" w:rsidRDefault="009128A0">
            <w:pPr>
              <w:spacing w:after="0"/>
              <w:rPr>
                <w:rFonts w:ascii="Calibri" w:eastAsia="Times New Roman" w:hAnsi="Calibri" w:cs="Calibri"/>
                <w:color w:val="000000" w:themeColor="text1"/>
                <w:sz w:val="24"/>
              </w:rPr>
            </w:pPr>
          </w:p>
        </w:tc>
        <w:tc>
          <w:tcPr>
            <w:tcW w:w="2126" w:type="dxa"/>
          </w:tcPr>
          <w:p w14:paraId="432BD8AF" w14:textId="77777777" w:rsidR="009128A0" w:rsidRDefault="009128A0">
            <w:pPr>
              <w:spacing w:after="0"/>
              <w:rPr>
                <w:rFonts w:ascii="Calibri" w:eastAsia="Times New Roman" w:hAnsi="Calibri" w:cs="Calibri"/>
                <w:color w:val="000000" w:themeColor="text1"/>
                <w:sz w:val="24"/>
              </w:rPr>
            </w:pPr>
          </w:p>
        </w:tc>
        <w:tc>
          <w:tcPr>
            <w:tcW w:w="2552" w:type="dxa"/>
          </w:tcPr>
          <w:p w14:paraId="04249A67" w14:textId="77777777" w:rsidR="009128A0" w:rsidRDefault="009128A0">
            <w:pPr>
              <w:spacing w:after="0"/>
              <w:rPr>
                <w:rFonts w:ascii="Calibri" w:eastAsia="Times New Roman" w:hAnsi="Calibri" w:cs="Calibri"/>
                <w:color w:val="000000" w:themeColor="text1"/>
                <w:sz w:val="24"/>
              </w:rPr>
            </w:pPr>
          </w:p>
        </w:tc>
        <w:tc>
          <w:tcPr>
            <w:tcW w:w="2977" w:type="dxa"/>
          </w:tcPr>
          <w:p w14:paraId="0B441951" w14:textId="77777777" w:rsidR="009128A0" w:rsidRDefault="009128A0">
            <w:pPr>
              <w:spacing w:after="0"/>
              <w:rPr>
                <w:rFonts w:ascii="Calibri" w:eastAsia="Times New Roman" w:hAnsi="Calibri" w:cs="Calibri"/>
                <w:color w:val="000000" w:themeColor="text1"/>
                <w:sz w:val="24"/>
              </w:rPr>
            </w:pPr>
          </w:p>
        </w:tc>
      </w:tr>
      <w:tr w:rsidR="009128A0" w14:paraId="397DB57C" w14:textId="77777777">
        <w:trPr>
          <w:trHeight w:val="552"/>
        </w:trPr>
        <w:tc>
          <w:tcPr>
            <w:tcW w:w="1951" w:type="dxa"/>
          </w:tcPr>
          <w:p w14:paraId="6BCB6D39" w14:textId="77777777" w:rsidR="009128A0" w:rsidRDefault="009128A0">
            <w:pPr>
              <w:spacing w:after="0"/>
              <w:rPr>
                <w:rFonts w:ascii="Calibri" w:eastAsia="Times New Roman" w:hAnsi="Calibri" w:cs="Calibri"/>
                <w:color w:val="000000" w:themeColor="text1"/>
                <w:sz w:val="24"/>
              </w:rPr>
            </w:pPr>
          </w:p>
        </w:tc>
        <w:tc>
          <w:tcPr>
            <w:tcW w:w="2126" w:type="dxa"/>
          </w:tcPr>
          <w:p w14:paraId="762A0808" w14:textId="77777777" w:rsidR="009128A0" w:rsidRDefault="009128A0">
            <w:pPr>
              <w:spacing w:after="0"/>
              <w:rPr>
                <w:rFonts w:ascii="Calibri" w:eastAsia="Times New Roman" w:hAnsi="Calibri" w:cs="Calibri"/>
                <w:color w:val="000000" w:themeColor="text1"/>
                <w:sz w:val="24"/>
              </w:rPr>
            </w:pPr>
          </w:p>
        </w:tc>
        <w:tc>
          <w:tcPr>
            <w:tcW w:w="2552" w:type="dxa"/>
          </w:tcPr>
          <w:p w14:paraId="45832380" w14:textId="77777777" w:rsidR="009128A0" w:rsidRDefault="009128A0">
            <w:pPr>
              <w:spacing w:after="0"/>
              <w:rPr>
                <w:rFonts w:ascii="Calibri" w:eastAsia="Times New Roman" w:hAnsi="Calibri" w:cs="Calibri"/>
                <w:color w:val="000000" w:themeColor="text1"/>
                <w:sz w:val="24"/>
              </w:rPr>
            </w:pPr>
          </w:p>
        </w:tc>
        <w:tc>
          <w:tcPr>
            <w:tcW w:w="2977" w:type="dxa"/>
          </w:tcPr>
          <w:p w14:paraId="52F5C46F" w14:textId="77777777" w:rsidR="009128A0" w:rsidRDefault="009128A0">
            <w:pPr>
              <w:spacing w:after="0"/>
              <w:rPr>
                <w:rFonts w:ascii="Calibri" w:eastAsia="Times New Roman" w:hAnsi="Calibri" w:cs="Calibri"/>
                <w:color w:val="000000" w:themeColor="text1"/>
                <w:sz w:val="24"/>
              </w:rPr>
            </w:pPr>
          </w:p>
        </w:tc>
      </w:tr>
      <w:tr w:rsidR="009128A0" w14:paraId="5EFF723E" w14:textId="77777777">
        <w:trPr>
          <w:trHeight w:val="552"/>
        </w:trPr>
        <w:tc>
          <w:tcPr>
            <w:tcW w:w="1951" w:type="dxa"/>
          </w:tcPr>
          <w:p w14:paraId="26A823C0" w14:textId="77777777" w:rsidR="009128A0" w:rsidRDefault="009128A0">
            <w:pPr>
              <w:spacing w:after="0"/>
              <w:rPr>
                <w:rFonts w:ascii="Calibri" w:eastAsia="Times New Roman" w:hAnsi="Calibri" w:cs="Calibri"/>
                <w:color w:val="000000" w:themeColor="text1"/>
                <w:sz w:val="24"/>
              </w:rPr>
            </w:pPr>
          </w:p>
        </w:tc>
        <w:tc>
          <w:tcPr>
            <w:tcW w:w="2126" w:type="dxa"/>
          </w:tcPr>
          <w:p w14:paraId="1B703E17" w14:textId="77777777" w:rsidR="009128A0" w:rsidRDefault="009128A0">
            <w:pPr>
              <w:spacing w:after="0"/>
              <w:rPr>
                <w:rFonts w:ascii="Calibri" w:eastAsia="Times New Roman" w:hAnsi="Calibri" w:cs="Calibri"/>
                <w:color w:val="000000" w:themeColor="text1"/>
                <w:sz w:val="24"/>
              </w:rPr>
            </w:pPr>
          </w:p>
        </w:tc>
        <w:tc>
          <w:tcPr>
            <w:tcW w:w="2552" w:type="dxa"/>
          </w:tcPr>
          <w:p w14:paraId="3C0ABAD1" w14:textId="77777777" w:rsidR="009128A0" w:rsidRDefault="009128A0">
            <w:pPr>
              <w:spacing w:after="0"/>
              <w:rPr>
                <w:rFonts w:ascii="Calibri" w:eastAsia="Times New Roman" w:hAnsi="Calibri" w:cs="Calibri"/>
                <w:color w:val="000000" w:themeColor="text1"/>
                <w:sz w:val="24"/>
              </w:rPr>
            </w:pPr>
          </w:p>
        </w:tc>
        <w:tc>
          <w:tcPr>
            <w:tcW w:w="2977" w:type="dxa"/>
          </w:tcPr>
          <w:p w14:paraId="02ADC231" w14:textId="77777777" w:rsidR="009128A0" w:rsidRDefault="009128A0">
            <w:pPr>
              <w:spacing w:after="0"/>
              <w:rPr>
                <w:rFonts w:ascii="Calibri" w:eastAsia="Times New Roman" w:hAnsi="Calibri" w:cs="Calibri"/>
                <w:color w:val="000000" w:themeColor="text1"/>
                <w:sz w:val="24"/>
              </w:rPr>
            </w:pPr>
          </w:p>
        </w:tc>
      </w:tr>
      <w:tr w:rsidR="009128A0" w14:paraId="321D279F" w14:textId="77777777">
        <w:trPr>
          <w:trHeight w:val="552"/>
        </w:trPr>
        <w:tc>
          <w:tcPr>
            <w:tcW w:w="1951" w:type="dxa"/>
          </w:tcPr>
          <w:p w14:paraId="08CEA752" w14:textId="77777777" w:rsidR="009128A0" w:rsidRDefault="009128A0">
            <w:pPr>
              <w:spacing w:after="0"/>
              <w:rPr>
                <w:rFonts w:ascii="Calibri" w:eastAsia="Times New Roman" w:hAnsi="Calibri" w:cs="Calibri"/>
                <w:color w:val="000000" w:themeColor="text1"/>
                <w:sz w:val="24"/>
              </w:rPr>
            </w:pPr>
          </w:p>
        </w:tc>
        <w:tc>
          <w:tcPr>
            <w:tcW w:w="2126" w:type="dxa"/>
          </w:tcPr>
          <w:p w14:paraId="7AF5A364" w14:textId="77777777" w:rsidR="009128A0" w:rsidRDefault="009128A0">
            <w:pPr>
              <w:spacing w:after="0"/>
              <w:rPr>
                <w:rFonts w:ascii="Calibri" w:eastAsia="Times New Roman" w:hAnsi="Calibri" w:cs="Calibri"/>
                <w:color w:val="000000" w:themeColor="text1"/>
                <w:sz w:val="24"/>
              </w:rPr>
            </w:pPr>
          </w:p>
        </w:tc>
        <w:tc>
          <w:tcPr>
            <w:tcW w:w="2552" w:type="dxa"/>
          </w:tcPr>
          <w:p w14:paraId="3C8A32C8" w14:textId="77777777" w:rsidR="009128A0" w:rsidRDefault="009128A0">
            <w:pPr>
              <w:spacing w:after="0"/>
              <w:rPr>
                <w:rFonts w:ascii="Calibri" w:eastAsia="Times New Roman" w:hAnsi="Calibri" w:cs="Calibri"/>
                <w:color w:val="000000" w:themeColor="text1"/>
                <w:sz w:val="24"/>
              </w:rPr>
            </w:pPr>
          </w:p>
        </w:tc>
        <w:tc>
          <w:tcPr>
            <w:tcW w:w="2977" w:type="dxa"/>
          </w:tcPr>
          <w:p w14:paraId="1CCAFB73" w14:textId="77777777" w:rsidR="009128A0" w:rsidRDefault="009128A0">
            <w:pPr>
              <w:spacing w:after="0"/>
              <w:rPr>
                <w:rFonts w:ascii="Calibri" w:eastAsia="Times New Roman" w:hAnsi="Calibri" w:cs="Calibri"/>
                <w:color w:val="000000" w:themeColor="text1"/>
                <w:sz w:val="24"/>
              </w:rPr>
            </w:pPr>
          </w:p>
        </w:tc>
      </w:tr>
    </w:tbl>
    <w:p w14:paraId="2385C51F" w14:textId="77777777" w:rsidR="009128A0" w:rsidRDefault="009128A0">
      <w:pPr>
        <w:pStyle w:val="1bodycopy10pt"/>
        <w:rPr>
          <w:rFonts w:ascii="Calibri" w:hAnsi="Calibri"/>
          <w:color w:val="000000" w:themeColor="text1"/>
        </w:rPr>
      </w:pPr>
    </w:p>
    <w:p w14:paraId="5DE7FF3E" w14:textId="77777777" w:rsidR="009128A0" w:rsidRDefault="009128A0">
      <w:pPr>
        <w:rPr>
          <w:rFonts w:ascii="Calibri" w:hAnsi="Calibri" w:cs="Arial"/>
          <w:b/>
          <w:color w:val="000000" w:themeColor="text1"/>
          <w:sz w:val="28"/>
          <w:szCs w:val="28"/>
        </w:rPr>
      </w:pPr>
    </w:p>
    <w:p w14:paraId="2837C438" w14:textId="77777777" w:rsidR="009128A0" w:rsidRDefault="009128A0">
      <w:pPr>
        <w:rPr>
          <w:rFonts w:ascii="Calibri" w:hAnsi="Calibri" w:cs="Arial"/>
          <w:b/>
          <w:color w:val="000000" w:themeColor="text1"/>
          <w:sz w:val="28"/>
          <w:szCs w:val="28"/>
        </w:rPr>
      </w:pPr>
    </w:p>
    <w:p w14:paraId="7E6F51E3" w14:textId="77777777" w:rsidR="009128A0" w:rsidRDefault="009128A0">
      <w:pPr>
        <w:rPr>
          <w:rFonts w:ascii="Calibri" w:hAnsi="Calibri" w:cs="Arial"/>
          <w:b/>
          <w:color w:val="000000" w:themeColor="text1"/>
          <w:sz w:val="28"/>
          <w:szCs w:val="28"/>
        </w:rPr>
      </w:pPr>
    </w:p>
    <w:p w14:paraId="0FA55E7D" w14:textId="77777777" w:rsidR="009128A0" w:rsidRDefault="009128A0">
      <w:pPr>
        <w:rPr>
          <w:rFonts w:ascii="Calibri" w:hAnsi="Calibri" w:cs="Arial"/>
          <w:b/>
          <w:color w:val="000000" w:themeColor="text1"/>
          <w:sz w:val="28"/>
          <w:szCs w:val="28"/>
        </w:rPr>
      </w:pPr>
    </w:p>
    <w:p w14:paraId="56269FF9" w14:textId="77777777" w:rsidR="009128A0" w:rsidRDefault="009128A0">
      <w:pPr>
        <w:rPr>
          <w:rFonts w:ascii="Calibri" w:hAnsi="Calibri" w:cs="Arial"/>
          <w:b/>
          <w:color w:val="000000" w:themeColor="text1"/>
          <w:sz w:val="28"/>
          <w:szCs w:val="28"/>
        </w:rPr>
      </w:pPr>
    </w:p>
    <w:p w14:paraId="22D40700" w14:textId="77777777" w:rsidR="009128A0" w:rsidRDefault="009128A0">
      <w:pPr>
        <w:rPr>
          <w:rFonts w:ascii="Calibri" w:hAnsi="Calibri" w:cs="Arial"/>
          <w:b/>
          <w:color w:val="000000" w:themeColor="text1"/>
          <w:sz w:val="28"/>
          <w:szCs w:val="28"/>
        </w:rPr>
      </w:pPr>
    </w:p>
    <w:p w14:paraId="3B1D41EC" w14:textId="77777777" w:rsidR="009128A0" w:rsidRDefault="009128A0">
      <w:pPr>
        <w:rPr>
          <w:rFonts w:ascii="Calibri" w:hAnsi="Calibri" w:cs="Arial"/>
          <w:b/>
          <w:color w:val="000000" w:themeColor="text1"/>
          <w:sz w:val="28"/>
          <w:szCs w:val="28"/>
        </w:rPr>
      </w:pPr>
    </w:p>
    <w:p w14:paraId="6C76DA0A" w14:textId="77777777" w:rsidR="009128A0" w:rsidRDefault="009128A0">
      <w:pPr>
        <w:rPr>
          <w:rFonts w:ascii="Calibri" w:hAnsi="Calibri" w:cs="Arial"/>
          <w:b/>
          <w:color w:val="000000" w:themeColor="text1"/>
          <w:sz w:val="28"/>
          <w:szCs w:val="28"/>
        </w:rPr>
      </w:pPr>
    </w:p>
    <w:p w14:paraId="2697B3A3" w14:textId="77777777" w:rsidR="009128A0" w:rsidRDefault="009128A0">
      <w:pPr>
        <w:rPr>
          <w:rFonts w:ascii="Calibri" w:hAnsi="Calibri" w:cs="Arial"/>
          <w:b/>
          <w:color w:val="000000" w:themeColor="text1"/>
          <w:sz w:val="28"/>
          <w:szCs w:val="28"/>
        </w:rPr>
      </w:pPr>
    </w:p>
    <w:p w14:paraId="24D32D63" w14:textId="77777777" w:rsidR="009128A0" w:rsidRDefault="009128A0">
      <w:pPr>
        <w:rPr>
          <w:rFonts w:ascii="Calibri" w:hAnsi="Calibri" w:cs="Arial"/>
          <w:b/>
          <w:color w:val="000000" w:themeColor="text1"/>
          <w:sz w:val="28"/>
          <w:szCs w:val="28"/>
        </w:rPr>
      </w:pPr>
    </w:p>
    <w:p w14:paraId="5480F925" w14:textId="77777777" w:rsidR="009128A0" w:rsidRPr="00244DAD" w:rsidRDefault="008E34B7">
      <w:pPr>
        <w:rPr>
          <w:rFonts w:asciiTheme="minorHAnsi" w:hAnsiTheme="minorHAnsi" w:cstheme="minorHAnsi"/>
          <w:b/>
          <w:color w:val="000000" w:themeColor="text1"/>
          <w:sz w:val="32"/>
          <w:szCs w:val="32"/>
        </w:rPr>
      </w:pPr>
      <w:r w:rsidRPr="00244DAD">
        <w:rPr>
          <w:rFonts w:asciiTheme="minorHAnsi" w:hAnsiTheme="minorHAnsi" w:cstheme="minorHAnsi"/>
          <w:b/>
          <w:color w:val="000000" w:themeColor="text1"/>
          <w:sz w:val="32"/>
          <w:szCs w:val="32"/>
        </w:rPr>
        <w:lastRenderedPageBreak/>
        <w:t>Contents</w:t>
      </w:r>
    </w:p>
    <w:p w14:paraId="72E2D389"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r w:rsidRPr="00244DAD">
        <w:rPr>
          <w:rFonts w:asciiTheme="minorHAnsi" w:hAnsiTheme="minorHAnsi" w:cstheme="minorHAnsi"/>
          <w:b/>
          <w:color w:val="000000" w:themeColor="text1"/>
          <w:sz w:val="32"/>
          <w:szCs w:val="32"/>
        </w:rPr>
        <w:fldChar w:fldCharType="begin"/>
      </w:r>
      <w:r w:rsidRPr="00244DAD">
        <w:rPr>
          <w:rFonts w:asciiTheme="minorHAnsi" w:hAnsiTheme="minorHAnsi" w:cstheme="minorHAnsi"/>
          <w:b/>
          <w:color w:val="000000" w:themeColor="text1"/>
          <w:sz w:val="32"/>
          <w:szCs w:val="32"/>
        </w:rPr>
        <w:instrText xml:space="preserve"> TOC \o "1-3" \h \z \u </w:instrText>
      </w:r>
      <w:r w:rsidRPr="00244DAD">
        <w:rPr>
          <w:rFonts w:asciiTheme="minorHAnsi" w:hAnsiTheme="minorHAnsi" w:cstheme="minorHAnsi"/>
          <w:b/>
          <w:color w:val="000000" w:themeColor="text1"/>
          <w:sz w:val="32"/>
          <w:szCs w:val="32"/>
        </w:rPr>
        <w:fldChar w:fldCharType="separate"/>
      </w:r>
      <w:hyperlink w:anchor="_Toc102642821" w:history="1">
        <w:r w:rsidRPr="00244DAD">
          <w:rPr>
            <w:rStyle w:val="Hyperlink"/>
            <w:rFonts w:asciiTheme="minorHAnsi" w:eastAsia="Arial" w:hAnsiTheme="minorHAnsi" w:cstheme="minorHAnsi"/>
            <w:noProof/>
            <w:color w:val="000000" w:themeColor="text1"/>
            <w:sz w:val="22"/>
            <w:szCs w:val="28"/>
            <w:lang w:val="en-GB" w:eastAsia="en-GB"/>
          </w:rPr>
          <w:t>1. Aims</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_Toc102642821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3</w:t>
        </w:r>
        <w:r w:rsidRPr="00244DAD">
          <w:rPr>
            <w:rFonts w:asciiTheme="minorHAnsi" w:hAnsiTheme="minorHAnsi" w:cstheme="minorHAnsi"/>
            <w:noProof/>
            <w:webHidden/>
            <w:color w:val="000000" w:themeColor="text1"/>
            <w:sz w:val="22"/>
            <w:szCs w:val="28"/>
          </w:rPr>
          <w:fldChar w:fldCharType="end"/>
        </w:r>
      </w:hyperlink>
    </w:p>
    <w:p w14:paraId="02DA1979"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hyperlink w:anchor="_Toc102642822" w:history="1">
        <w:r w:rsidRPr="00244DAD">
          <w:rPr>
            <w:rStyle w:val="Hyperlink"/>
            <w:rFonts w:asciiTheme="minorHAnsi" w:eastAsia="Arial" w:hAnsiTheme="minorHAnsi" w:cstheme="minorHAnsi"/>
            <w:noProof/>
            <w:color w:val="000000" w:themeColor="text1"/>
            <w:sz w:val="22"/>
            <w:szCs w:val="28"/>
            <w:lang w:val="en-GB" w:eastAsia="en-GB"/>
          </w:rPr>
          <w:t>2. Newly qualified teacher (NQT) induction transitional arrangements</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_Toc102642822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3</w:t>
        </w:r>
        <w:r w:rsidRPr="00244DAD">
          <w:rPr>
            <w:rFonts w:asciiTheme="minorHAnsi" w:hAnsiTheme="minorHAnsi" w:cstheme="minorHAnsi"/>
            <w:noProof/>
            <w:webHidden/>
            <w:color w:val="000000" w:themeColor="text1"/>
            <w:sz w:val="22"/>
            <w:szCs w:val="28"/>
          </w:rPr>
          <w:fldChar w:fldCharType="end"/>
        </w:r>
      </w:hyperlink>
    </w:p>
    <w:p w14:paraId="040FDD40"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hyperlink w:anchor="_Toc102642823" w:history="1">
        <w:r w:rsidRPr="00244DAD">
          <w:rPr>
            <w:rStyle w:val="Hyperlink"/>
            <w:rFonts w:asciiTheme="minorHAnsi" w:eastAsia="Arial" w:hAnsiTheme="minorHAnsi" w:cstheme="minorHAnsi"/>
            <w:noProof/>
            <w:color w:val="000000" w:themeColor="text1"/>
            <w:sz w:val="22"/>
            <w:szCs w:val="28"/>
            <w:lang w:val="en-GB" w:eastAsia="en-GB"/>
          </w:rPr>
          <w:t>3. Legislation and statutory guidance</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_Toc102642823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3</w:t>
        </w:r>
        <w:r w:rsidRPr="00244DAD">
          <w:rPr>
            <w:rFonts w:asciiTheme="minorHAnsi" w:hAnsiTheme="minorHAnsi" w:cstheme="minorHAnsi"/>
            <w:noProof/>
            <w:webHidden/>
            <w:color w:val="000000" w:themeColor="text1"/>
            <w:sz w:val="22"/>
            <w:szCs w:val="28"/>
          </w:rPr>
          <w:fldChar w:fldCharType="end"/>
        </w:r>
      </w:hyperlink>
    </w:p>
    <w:p w14:paraId="6FA78CC2"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hyperlink w:anchor="_Toc102642824" w:history="1">
        <w:r w:rsidRPr="00244DAD">
          <w:rPr>
            <w:rStyle w:val="Hyperlink"/>
            <w:rFonts w:asciiTheme="minorHAnsi" w:eastAsia="Arial" w:hAnsiTheme="minorHAnsi" w:cstheme="minorHAnsi"/>
            <w:noProof/>
            <w:color w:val="000000" w:themeColor="text1"/>
            <w:sz w:val="22"/>
            <w:szCs w:val="28"/>
            <w:lang w:val="en-GB" w:eastAsia="en-GB"/>
          </w:rPr>
          <w:t>4. The ECT induction programme</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_Toc102642824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4</w:t>
        </w:r>
        <w:r w:rsidRPr="00244DAD">
          <w:rPr>
            <w:rFonts w:asciiTheme="minorHAnsi" w:hAnsiTheme="minorHAnsi" w:cstheme="minorHAnsi"/>
            <w:noProof/>
            <w:webHidden/>
            <w:color w:val="000000" w:themeColor="text1"/>
            <w:sz w:val="22"/>
            <w:szCs w:val="28"/>
          </w:rPr>
          <w:fldChar w:fldCharType="end"/>
        </w:r>
      </w:hyperlink>
    </w:p>
    <w:p w14:paraId="09CFDB44"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hyperlink w:anchor="_Toc102642825" w:history="1">
        <w:r w:rsidRPr="00244DAD">
          <w:rPr>
            <w:rStyle w:val="Hyperlink"/>
            <w:rFonts w:asciiTheme="minorHAnsi" w:eastAsia="Arial" w:hAnsiTheme="minorHAnsi" w:cstheme="minorHAnsi"/>
            <w:noProof/>
            <w:color w:val="000000" w:themeColor="text1"/>
            <w:sz w:val="22"/>
            <w:szCs w:val="28"/>
            <w:lang w:val="en-GB" w:eastAsia="en-GB"/>
          </w:rPr>
          <w:t>5. Roles and responsibilities</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_Toc102642825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5</w:t>
        </w:r>
        <w:r w:rsidRPr="00244DAD">
          <w:rPr>
            <w:rFonts w:asciiTheme="minorHAnsi" w:hAnsiTheme="minorHAnsi" w:cstheme="minorHAnsi"/>
            <w:noProof/>
            <w:webHidden/>
            <w:color w:val="000000" w:themeColor="text1"/>
            <w:sz w:val="22"/>
            <w:szCs w:val="28"/>
          </w:rPr>
          <w:fldChar w:fldCharType="end"/>
        </w:r>
      </w:hyperlink>
    </w:p>
    <w:p w14:paraId="061B8085"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hyperlink w:anchor="_Toc102642826" w:history="1">
        <w:r w:rsidRPr="00244DAD">
          <w:rPr>
            <w:rStyle w:val="Hyperlink"/>
            <w:rFonts w:asciiTheme="minorHAnsi" w:eastAsia="Arial" w:hAnsiTheme="minorHAnsi" w:cstheme="minorHAnsi"/>
            <w:noProof/>
            <w:color w:val="000000" w:themeColor="text1"/>
            <w:sz w:val="22"/>
            <w:szCs w:val="28"/>
            <w:lang w:val="en-GB" w:eastAsia="en-GB"/>
          </w:rPr>
          <w:t>6. Monitoring arrangements</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_Toc102642826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7</w:t>
        </w:r>
        <w:r w:rsidRPr="00244DAD">
          <w:rPr>
            <w:rFonts w:asciiTheme="minorHAnsi" w:hAnsiTheme="minorHAnsi" w:cstheme="minorHAnsi"/>
            <w:noProof/>
            <w:webHidden/>
            <w:color w:val="000000" w:themeColor="text1"/>
            <w:sz w:val="22"/>
            <w:szCs w:val="28"/>
          </w:rPr>
          <w:fldChar w:fldCharType="end"/>
        </w:r>
      </w:hyperlink>
    </w:p>
    <w:p w14:paraId="681E265C" w14:textId="77777777" w:rsidR="009128A0" w:rsidRPr="00244DAD" w:rsidRDefault="008E34B7">
      <w:pPr>
        <w:pStyle w:val="TOC1"/>
        <w:tabs>
          <w:tab w:val="right" w:leader="dot" w:pos="9736"/>
        </w:tabs>
        <w:rPr>
          <w:rFonts w:asciiTheme="minorHAnsi" w:eastAsia="Times New Roman" w:hAnsiTheme="minorHAnsi" w:cstheme="minorHAnsi"/>
          <w:noProof/>
          <w:color w:val="000000" w:themeColor="text1"/>
          <w:sz w:val="24"/>
          <w:lang w:val="en-GB" w:eastAsia="en-GB"/>
        </w:rPr>
      </w:pPr>
      <w:hyperlink w:anchor="_Toc102642827" w:history="1">
        <w:r w:rsidRPr="00244DAD">
          <w:rPr>
            <w:rStyle w:val="Hyperlink"/>
            <w:rFonts w:asciiTheme="minorHAnsi" w:eastAsia="Arial" w:hAnsiTheme="minorHAnsi" w:cstheme="minorHAnsi"/>
            <w:noProof/>
            <w:color w:val="000000" w:themeColor="text1"/>
            <w:sz w:val="22"/>
            <w:szCs w:val="28"/>
            <w:lang w:val="en-GB" w:eastAsia="en-GB"/>
          </w:rPr>
          <w:t>7. Links with other policies</w:t>
        </w:r>
        <w:r w:rsidRPr="00244DAD">
          <w:rPr>
            <w:rFonts w:asciiTheme="minorHAnsi" w:hAnsiTheme="minorHAnsi" w:cstheme="minorHAnsi"/>
            <w:noProof/>
            <w:webHidden/>
            <w:color w:val="000000" w:themeColor="text1"/>
            <w:sz w:val="22"/>
            <w:szCs w:val="28"/>
          </w:rPr>
          <w:tab/>
        </w:r>
        <w:r w:rsidRPr="00244DAD">
          <w:rPr>
            <w:rFonts w:asciiTheme="minorHAnsi" w:hAnsiTheme="minorHAnsi" w:cstheme="minorHAnsi"/>
            <w:noProof/>
            <w:webHidden/>
            <w:color w:val="000000" w:themeColor="text1"/>
            <w:sz w:val="22"/>
            <w:szCs w:val="28"/>
          </w:rPr>
          <w:fldChar w:fldCharType="begin"/>
        </w:r>
        <w:r w:rsidRPr="00244DAD">
          <w:rPr>
            <w:rFonts w:asciiTheme="minorHAnsi" w:hAnsiTheme="minorHAnsi" w:cstheme="minorHAnsi"/>
            <w:noProof/>
            <w:webHidden/>
            <w:color w:val="000000" w:themeColor="text1"/>
            <w:sz w:val="22"/>
            <w:szCs w:val="28"/>
          </w:rPr>
          <w:instrText xml:space="preserve"> PAGEREF _Toc102642827 \h </w:instrText>
        </w:r>
        <w:r w:rsidRPr="00244DAD">
          <w:rPr>
            <w:rFonts w:asciiTheme="minorHAnsi" w:hAnsiTheme="minorHAnsi" w:cstheme="minorHAnsi"/>
            <w:noProof/>
            <w:webHidden/>
            <w:color w:val="000000" w:themeColor="text1"/>
            <w:sz w:val="22"/>
            <w:szCs w:val="28"/>
          </w:rPr>
        </w:r>
        <w:r w:rsidRPr="00244DAD">
          <w:rPr>
            <w:rFonts w:asciiTheme="minorHAnsi" w:hAnsiTheme="minorHAnsi" w:cstheme="minorHAnsi"/>
            <w:noProof/>
            <w:webHidden/>
            <w:color w:val="000000" w:themeColor="text1"/>
            <w:sz w:val="22"/>
            <w:szCs w:val="28"/>
          </w:rPr>
          <w:fldChar w:fldCharType="separate"/>
        </w:r>
        <w:r w:rsidRPr="00244DAD">
          <w:rPr>
            <w:rFonts w:asciiTheme="minorHAnsi" w:hAnsiTheme="minorHAnsi" w:cstheme="minorHAnsi"/>
            <w:noProof/>
            <w:webHidden/>
            <w:color w:val="000000" w:themeColor="text1"/>
            <w:sz w:val="22"/>
            <w:szCs w:val="28"/>
          </w:rPr>
          <w:t>7</w:t>
        </w:r>
        <w:r w:rsidRPr="00244DAD">
          <w:rPr>
            <w:rFonts w:asciiTheme="minorHAnsi" w:hAnsiTheme="minorHAnsi" w:cstheme="minorHAnsi"/>
            <w:noProof/>
            <w:webHidden/>
            <w:color w:val="000000" w:themeColor="text1"/>
            <w:sz w:val="22"/>
            <w:szCs w:val="28"/>
          </w:rPr>
          <w:fldChar w:fldCharType="end"/>
        </w:r>
      </w:hyperlink>
    </w:p>
    <w:p w14:paraId="67B29287" w14:textId="77777777" w:rsidR="009128A0" w:rsidRPr="00244DAD" w:rsidRDefault="008E34B7">
      <w:pPr>
        <w:rPr>
          <w:rFonts w:asciiTheme="minorHAnsi" w:hAnsiTheme="minorHAnsi" w:cstheme="minorHAnsi"/>
          <w:b/>
          <w:color w:val="000000" w:themeColor="text1"/>
          <w:sz w:val="32"/>
          <w:szCs w:val="32"/>
        </w:rPr>
      </w:pPr>
      <w:r w:rsidRPr="00244DAD">
        <w:rPr>
          <w:rFonts w:asciiTheme="minorHAnsi" w:hAnsiTheme="minorHAnsi" w:cstheme="minorHAnsi"/>
          <w:b/>
          <w:color w:val="000000" w:themeColor="text1"/>
          <w:sz w:val="32"/>
          <w:szCs w:val="32"/>
        </w:rPr>
        <w:fldChar w:fldCharType="end"/>
      </w:r>
    </w:p>
    <w:p w14:paraId="48AC2F97" w14:textId="77777777" w:rsidR="009128A0" w:rsidRPr="00244DAD" w:rsidRDefault="008E34B7">
      <w:pPr>
        <w:pStyle w:val="1bodycopy10pt"/>
        <w:rPr>
          <w:rFonts w:asciiTheme="minorHAnsi" w:hAnsiTheme="minorHAnsi" w:cstheme="minorHAnsi"/>
          <w:noProof/>
          <w:color w:val="000000" w:themeColor="text1"/>
          <w:sz w:val="22"/>
          <w:szCs w:val="22"/>
        </w:rPr>
      </w:pPr>
      <w:r w:rsidRPr="00244DAD">
        <w:rPr>
          <w:rFonts w:asciiTheme="minorHAnsi" w:hAnsiTheme="minorHAnsi" w:cstheme="minorHAnsi"/>
          <w:noProof/>
          <w:color w:val="000000" w:themeColor="text1"/>
          <w:sz w:val="22"/>
          <w:szCs w:val="28"/>
          <w:lang w:val="en-GB" w:eastAsia="en-GB"/>
        </w:rPr>
        <mc:AlternateContent>
          <mc:Choice Requires="wps">
            <w:drawing>
              <wp:anchor distT="4294967295" distB="4294967295" distL="114300" distR="114300" simplePos="0" relativeHeight="251658240" behindDoc="0" locked="0" layoutInCell="1" allowOverlap="1" wp14:anchorId="6305F188" wp14:editId="760FC745">
                <wp:simplePos x="0" y="0"/>
                <wp:positionH relativeFrom="column">
                  <wp:posOffset>0</wp:posOffset>
                </wp:positionH>
                <wp:positionV relativeFrom="paragraph">
                  <wp:posOffset>-1</wp:posOffset>
                </wp:positionV>
                <wp:extent cx="61588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1C8CA"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0AA98F0"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0" w:name="_Toc25836416"/>
      <w:bookmarkStart w:id="1" w:name="_Toc71203489"/>
      <w:bookmarkStart w:id="2" w:name="_Toc102642821"/>
      <w:r w:rsidRPr="00244DAD">
        <w:rPr>
          <w:rFonts w:asciiTheme="minorHAnsi" w:eastAsia="Arial" w:hAnsiTheme="minorHAnsi" w:cstheme="minorHAnsi"/>
          <w:color w:val="000000" w:themeColor="text1"/>
          <w:sz w:val="32"/>
          <w:szCs w:val="32"/>
          <w:lang w:eastAsia="en-GB"/>
        </w:rPr>
        <w:t>1. Aims</w:t>
      </w:r>
      <w:bookmarkEnd w:id="0"/>
      <w:bookmarkEnd w:id="1"/>
      <w:bookmarkEnd w:id="2"/>
    </w:p>
    <w:p w14:paraId="7BB9E3EF"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school aims to:</w:t>
      </w:r>
    </w:p>
    <w:p w14:paraId="256A433C" w14:textId="77777777" w:rsidR="009128A0" w:rsidRPr="00244DAD" w:rsidRDefault="008E34B7">
      <w:pPr>
        <w:numPr>
          <w:ilvl w:val="0"/>
          <w:numId w:val="1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Run an ECT induction programme that meets all of the statutory requirements underpinned by the early career framework (ECF) </w:t>
      </w:r>
    </w:p>
    <w:p w14:paraId="78A20E90" w14:textId="77777777" w:rsidR="009128A0" w:rsidRPr="00244DAD" w:rsidRDefault="008E34B7">
      <w:pPr>
        <w:numPr>
          <w:ilvl w:val="0"/>
          <w:numId w:val="1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Provide ECTs with a supportive environment that develops them and equips them with the tools to be effective and successful teachers</w:t>
      </w:r>
    </w:p>
    <w:p w14:paraId="7C15AC3C" w14:textId="77777777" w:rsidR="009128A0" w:rsidRPr="00244DAD" w:rsidRDefault="008E34B7">
      <w:pPr>
        <w:numPr>
          <w:ilvl w:val="0"/>
          <w:numId w:val="1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all staff understand their role in the ECT induction programme</w:t>
      </w:r>
    </w:p>
    <w:p w14:paraId="667D78CC" w14:textId="77777777" w:rsidR="009128A0" w:rsidRPr="00244DAD" w:rsidRDefault="009128A0">
      <w:pPr>
        <w:rPr>
          <w:rFonts w:asciiTheme="minorHAnsi" w:hAnsiTheme="minorHAnsi" w:cstheme="minorHAnsi"/>
          <w:color w:val="000000" w:themeColor="text1"/>
          <w:sz w:val="22"/>
          <w:szCs w:val="28"/>
          <w:lang w:val="en-GB" w:eastAsia="en-GB"/>
        </w:rPr>
      </w:pPr>
    </w:p>
    <w:p w14:paraId="769025D0"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3" w:name="_Toc71203490"/>
      <w:bookmarkStart w:id="4" w:name="_Toc102642822"/>
      <w:r w:rsidRPr="00244DAD">
        <w:rPr>
          <w:rFonts w:asciiTheme="minorHAnsi" w:eastAsia="Arial" w:hAnsiTheme="minorHAnsi" w:cstheme="minorHAnsi"/>
          <w:color w:val="000000" w:themeColor="text1"/>
          <w:sz w:val="32"/>
          <w:szCs w:val="32"/>
          <w:lang w:eastAsia="en-GB"/>
        </w:rPr>
        <w:t>2. Newly qualified teacher (NQT) induction transitional arrangements</w:t>
      </w:r>
      <w:bookmarkEnd w:id="3"/>
      <w:bookmarkEnd w:id="4"/>
    </w:p>
    <w:p w14:paraId="1307987F"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This policy applies to ECTs who start their induction </w:t>
      </w:r>
      <w:r w:rsidRPr="00244DAD">
        <w:rPr>
          <w:rFonts w:asciiTheme="minorHAnsi" w:hAnsiTheme="minorHAnsi" w:cstheme="minorHAnsi"/>
          <w:b/>
          <w:bCs/>
          <w:color w:val="000000" w:themeColor="text1"/>
          <w:sz w:val="22"/>
          <w:szCs w:val="28"/>
          <w:lang w:val="en-GB" w:eastAsia="en-GB"/>
        </w:rPr>
        <w:t>on or after 1 September 2021</w:t>
      </w:r>
      <w:r w:rsidRPr="00244DAD">
        <w:rPr>
          <w:rFonts w:asciiTheme="minorHAnsi" w:hAnsiTheme="minorHAnsi" w:cstheme="minorHAnsi"/>
          <w:color w:val="000000" w:themeColor="text1"/>
          <w:sz w:val="22"/>
          <w:szCs w:val="28"/>
          <w:lang w:val="en-GB" w:eastAsia="en-GB"/>
        </w:rPr>
        <w:t xml:space="preserve">. </w:t>
      </w:r>
    </w:p>
    <w:p w14:paraId="25720466"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NQTs who have started but not completed their induction </w:t>
      </w:r>
      <w:r w:rsidRPr="00244DAD">
        <w:rPr>
          <w:rFonts w:asciiTheme="minorHAnsi" w:hAnsiTheme="minorHAnsi" w:cstheme="minorHAnsi"/>
          <w:b/>
          <w:bCs/>
          <w:color w:val="000000" w:themeColor="text1"/>
          <w:sz w:val="22"/>
          <w:szCs w:val="28"/>
          <w:lang w:val="en-GB" w:eastAsia="en-GB"/>
        </w:rPr>
        <w:t>before 1 September 2021</w:t>
      </w:r>
      <w:r w:rsidRPr="00244DAD">
        <w:rPr>
          <w:rFonts w:asciiTheme="minorHAnsi" w:hAnsiTheme="minorHAnsi" w:cstheme="minorHAnsi"/>
          <w:color w:val="000000" w:themeColor="text1"/>
          <w:sz w:val="22"/>
          <w:szCs w:val="28"/>
          <w:lang w:val="en-GB" w:eastAsia="en-GB"/>
        </w:rPr>
        <w:t xml:space="preserve"> will continue to follow our historic NQT induction policy, which is available on request. They have until 1 September 2023 to complete their induction within 3 terms (a single academic year) as outlined in previous NQT induction guidance. Where possible, at the discretion of the headteacher and appropriate body, we will also provide them with:</w:t>
      </w:r>
    </w:p>
    <w:p w14:paraId="221F82BD" w14:textId="77777777" w:rsidR="009128A0" w:rsidRPr="00244DAD" w:rsidRDefault="008E34B7">
      <w:pPr>
        <w:numPr>
          <w:ilvl w:val="0"/>
          <w:numId w:val="2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An ECF-based induction for the remainder of the NQT’s 1-year induction</w:t>
      </w:r>
    </w:p>
    <w:p w14:paraId="2DE763A7" w14:textId="77777777" w:rsidR="009128A0" w:rsidRPr="00244DAD" w:rsidRDefault="008E34B7">
      <w:pPr>
        <w:numPr>
          <w:ilvl w:val="0"/>
          <w:numId w:val="2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An induction mentor for the remainder of the NQT’s 1-year induction</w:t>
      </w:r>
    </w:p>
    <w:p w14:paraId="20E6D317"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If they don't complete their induction by 1 September 2023, they will be required at this point to switch to the full ECT induction for the remainder of their induction period. Time already spent in induction will count towards the 2-year ECT induction period. </w:t>
      </w:r>
    </w:p>
    <w:p w14:paraId="523CCF87" w14:textId="77777777" w:rsidR="009128A0" w:rsidRPr="00244DAD" w:rsidRDefault="009128A0">
      <w:pPr>
        <w:ind w:left="340"/>
        <w:rPr>
          <w:rFonts w:asciiTheme="minorHAnsi" w:hAnsiTheme="minorHAnsi" w:cstheme="minorHAnsi"/>
          <w:color w:val="000000" w:themeColor="text1"/>
          <w:sz w:val="22"/>
          <w:szCs w:val="28"/>
          <w:lang w:val="en-GB" w:eastAsia="en-GB"/>
        </w:rPr>
      </w:pPr>
    </w:p>
    <w:p w14:paraId="01F25466"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5" w:name="_Toc25836417"/>
      <w:bookmarkStart w:id="6" w:name="_Toc71203491"/>
      <w:bookmarkStart w:id="7" w:name="_Toc102642823"/>
      <w:r w:rsidRPr="00244DAD">
        <w:rPr>
          <w:rFonts w:asciiTheme="minorHAnsi" w:eastAsia="Arial" w:hAnsiTheme="minorHAnsi" w:cstheme="minorHAnsi"/>
          <w:color w:val="000000" w:themeColor="text1"/>
          <w:sz w:val="32"/>
          <w:szCs w:val="32"/>
          <w:lang w:eastAsia="en-GB"/>
        </w:rPr>
        <w:t>3. Legislation and statutory guidance</w:t>
      </w:r>
      <w:bookmarkEnd w:id="5"/>
      <w:bookmarkEnd w:id="6"/>
      <w:bookmarkEnd w:id="7"/>
    </w:p>
    <w:p w14:paraId="489C852D"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This policy is based on: </w:t>
      </w:r>
    </w:p>
    <w:p w14:paraId="37ADEB10" w14:textId="77777777" w:rsidR="009128A0" w:rsidRPr="00244DAD" w:rsidRDefault="008E34B7">
      <w:pPr>
        <w:numPr>
          <w:ilvl w:val="0"/>
          <w:numId w:val="21"/>
        </w:numPr>
        <w:pBdr>
          <w:left w:val="none" w:sz="0" w:space="8" w:color="auto"/>
        </w:pBdr>
        <w:ind w:hanging="424"/>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The Department for Education’s (DfE’s) statutory guidance </w:t>
      </w:r>
      <w:hyperlink r:id="rId12" w:history="1">
        <w:r w:rsidRPr="00244DAD">
          <w:rPr>
            <w:rFonts w:asciiTheme="minorHAnsi" w:hAnsiTheme="minorHAnsi" w:cstheme="minorHAnsi"/>
            <w:color w:val="000000" w:themeColor="text1"/>
            <w:sz w:val="22"/>
            <w:szCs w:val="28"/>
            <w:u w:val="single" w:color="0072CC"/>
            <w:lang w:val="en-GB" w:eastAsia="en-GB"/>
          </w:rPr>
          <w:t>Induction for early career teachers (England)</w:t>
        </w:r>
      </w:hyperlink>
      <w:r w:rsidRPr="00244DAD">
        <w:rPr>
          <w:rFonts w:asciiTheme="minorHAnsi" w:hAnsiTheme="minorHAnsi" w:cstheme="minorHAnsi"/>
          <w:color w:val="000000" w:themeColor="text1"/>
          <w:sz w:val="22"/>
          <w:szCs w:val="28"/>
          <w:lang w:val="en-GB" w:eastAsia="en-GB"/>
        </w:rPr>
        <w:t xml:space="preserve"> from 1 September 2021 </w:t>
      </w:r>
    </w:p>
    <w:p w14:paraId="261F9BE2" w14:textId="77777777" w:rsidR="009128A0" w:rsidRPr="00244DAD" w:rsidRDefault="008E34B7">
      <w:pPr>
        <w:numPr>
          <w:ilvl w:val="0"/>
          <w:numId w:val="21"/>
        </w:numPr>
        <w:pBdr>
          <w:left w:val="none" w:sz="0" w:space="8" w:color="auto"/>
        </w:pBdr>
        <w:ind w:hanging="424"/>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The </w:t>
      </w:r>
      <w:hyperlink r:id="rId13" w:history="1">
        <w:r w:rsidRPr="00244DAD">
          <w:rPr>
            <w:rStyle w:val="Hyperlink"/>
            <w:rFonts w:asciiTheme="minorHAnsi" w:hAnsiTheme="minorHAnsi" w:cstheme="minorHAnsi"/>
            <w:color w:val="000000" w:themeColor="text1"/>
            <w:sz w:val="22"/>
            <w:szCs w:val="28"/>
            <w:u w:color="0072CC"/>
            <w:lang w:val="en-GB" w:eastAsia="en-GB"/>
          </w:rPr>
          <w:t>Early career framework reforms</w:t>
        </w:r>
      </w:hyperlink>
    </w:p>
    <w:p w14:paraId="25ABE320" w14:textId="77777777" w:rsidR="009128A0" w:rsidRPr="00244DAD" w:rsidRDefault="008E34B7">
      <w:pPr>
        <w:numPr>
          <w:ilvl w:val="0"/>
          <w:numId w:val="21"/>
        </w:numPr>
        <w:pBdr>
          <w:left w:val="none" w:sz="0" w:space="8" w:color="auto"/>
        </w:pBdr>
        <w:ind w:hanging="424"/>
        <w:rPr>
          <w:rFonts w:asciiTheme="minorHAnsi" w:eastAsia="Times New Roman" w:hAnsiTheme="minorHAnsi" w:cstheme="minorHAnsi"/>
          <w:color w:val="000000" w:themeColor="text1"/>
          <w:sz w:val="22"/>
          <w:szCs w:val="28"/>
          <w:lang w:val="en-GB" w:eastAsia="en-GB"/>
        </w:rPr>
      </w:pPr>
      <w:hyperlink r:id="rId14" w:history="1">
        <w:r w:rsidRPr="00244DAD">
          <w:rPr>
            <w:rFonts w:asciiTheme="minorHAnsi" w:hAnsiTheme="minorHAnsi" w:cstheme="minorHAnsi"/>
            <w:color w:val="000000" w:themeColor="text1"/>
            <w:sz w:val="22"/>
            <w:szCs w:val="28"/>
            <w:u w:val="single" w:color="0072CC"/>
            <w:lang w:val="en-GB" w:eastAsia="en-GB"/>
          </w:rPr>
          <w:t>The Education (Induction Arrangements for School Teachers) (England) Regulations 2012</w:t>
        </w:r>
      </w:hyperlink>
    </w:p>
    <w:p w14:paraId="4E351B0A" w14:textId="77777777" w:rsidR="009128A0" w:rsidRPr="00244DAD" w:rsidRDefault="008E34B7">
      <w:pPr>
        <w:numPr>
          <w:ilvl w:val="0"/>
          <w:numId w:val="21"/>
        </w:numPr>
        <w:pBdr>
          <w:left w:val="none" w:sz="0" w:space="8" w:color="auto"/>
        </w:pBdr>
        <w:ind w:hanging="424"/>
        <w:rPr>
          <w:rFonts w:asciiTheme="minorHAnsi" w:eastAsia="Times New Roman" w:hAnsiTheme="minorHAnsi" w:cstheme="minorHAnsi"/>
          <w:color w:val="000000" w:themeColor="text1"/>
          <w:sz w:val="22"/>
          <w:szCs w:val="28"/>
          <w:lang w:val="en-GB" w:eastAsia="en-GB"/>
        </w:rPr>
      </w:pPr>
      <w:hyperlink r:id="rId15" w:history="1">
        <w:r w:rsidRPr="00244DAD">
          <w:rPr>
            <w:rStyle w:val="Hyperlink"/>
            <w:rFonts w:asciiTheme="minorHAnsi" w:hAnsiTheme="minorHAnsi" w:cstheme="minorHAnsi"/>
            <w:color w:val="000000" w:themeColor="text1"/>
            <w:sz w:val="22"/>
            <w:szCs w:val="28"/>
            <w:u w:color="0072CC"/>
            <w:lang w:val="en-GB" w:eastAsia="en-GB"/>
          </w:rPr>
          <w:t>Early career teacher induction: COVID-19 absence exemption</w:t>
        </w:r>
      </w:hyperlink>
    </w:p>
    <w:p w14:paraId="665B355C"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lastRenderedPageBreak/>
        <w:t xml:space="preserve">The ‘relevant standards’ referred to below are the </w:t>
      </w:r>
      <w:hyperlink r:id="rId16" w:history="1">
        <w:r w:rsidRPr="00244DAD">
          <w:rPr>
            <w:rFonts w:asciiTheme="minorHAnsi" w:hAnsiTheme="minorHAnsi" w:cstheme="minorHAnsi"/>
            <w:color w:val="000000" w:themeColor="text1"/>
            <w:sz w:val="22"/>
            <w:szCs w:val="28"/>
            <w:u w:val="single" w:color="0072CC"/>
            <w:lang w:val="en-GB" w:eastAsia="en-GB"/>
          </w:rPr>
          <w:t>Teachers’ Standards</w:t>
        </w:r>
      </w:hyperlink>
      <w:r w:rsidRPr="00244DAD">
        <w:rPr>
          <w:rFonts w:asciiTheme="minorHAnsi" w:hAnsiTheme="minorHAnsi" w:cstheme="minorHAnsi"/>
          <w:color w:val="000000" w:themeColor="text1"/>
          <w:sz w:val="22"/>
          <w:szCs w:val="28"/>
          <w:lang w:val="en-GB" w:eastAsia="en-GB"/>
        </w:rPr>
        <w:t>.</w:t>
      </w:r>
    </w:p>
    <w:p w14:paraId="541AE562"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This policy complies with our funding agreement and articles of association.</w:t>
      </w:r>
    </w:p>
    <w:p w14:paraId="26DECE13" w14:textId="77777777" w:rsidR="009128A0" w:rsidRPr="00244DAD" w:rsidRDefault="009128A0">
      <w:pPr>
        <w:rPr>
          <w:rFonts w:asciiTheme="minorHAnsi" w:hAnsiTheme="minorHAnsi" w:cstheme="minorHAnsi"/>
          <w:color w:val="000000" w:themeColor="text1"/>
          <w:sz w:val="22"/>
          <w:szCs w:val="28"/>
          <w:lang w:val="en-GB" w:eastAsia="en-GB"/>
        </w:rPr>
      </w:pPr>
    </w:p>
    <w:p w14:paraId="4C9470D7" w14:textId="77777777" w:rsidR="009128A0" w:rsidRPr="00244DAD" w:rsidRDefault="009128A0">
      <w:pPr>
        <w:rPr>
          <w:rFonts w:asciiTheme="minorHAnsi" w:hAnsiTheme="minorHAnsi" w:cstheme="minorHAnsi"/>
          <w:color w:val="000000" w:themeColor="text1"/>
          <w:sz w:val="22"/>
          <w:szCs w:val="28"/>
          <w:lang w:val="en-GB" w:eastAsia="en-GB"/>
        </w:rPr>
      </w:pPr>
    </w:p>
    <w:p w14:paraId="75B9BBF3"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8" w:name="_Toc25836418"/>
      <w:bookmarkStart w:id="9" w:name="_Toc71203492"/>
      <w:bookmarkStart w:id="10" w:name="_Toc102642824"/>
      <w:r w:rsidRPr="00244DAD">
        <w:rPr>
          <w:rFonts w:asciiTheme="minorHAnsi" w:eastAsia="Arial" w:hAnsiTheme="minorHAnsi" w:cstheme="minorHAnsi"/>
          <w:color w:val="000000" w:themeColor="text1"/>
          <w:sz w:val="32"/>
          <w:szCs w:val="32"/>
          <w:lang w:eastAsia="en-GB"/>
        </w:rPr>
        <w:t>4. The ECT induction programme</w:t>
      </w:r>
      <w:bookmarkEnd w:id="8"/>
      <w:bookmarkEnd w:id="9"/>
      <w:bookmarkEnd w:id="10"/>
    </w:p>
    <w:p w14:paraId="716C3CEE"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induction programme will be underpinned by the ECF, enabling ECTs to understand and apply the knowledge and skills set out in the ECF.</w:t>
      </w:r>
    </w:p>
    <w:p w14:paraId="606A66C7" w14:textId="77777777" w:rsidR="009128A0" w:rsidRPr="00244DAD" w:rsidRDefault="008E34B7">
      <w:pPr>
        <w:rPr>
          <w:rFonts w:asciiTheme="minorHAnsi" w:hAnsiTheme="minorHAnsi" w:cstheme="minorHAnsi"/>
          <w:color w:val="000000" w:themeColor="text1"/>
          <w:sz w:val="22"/>
          <w:szCs w:val="28"/>
          <w:lang w:eastAsia="en-GB"/>
        </w:rPr>
      </w:pPr>
      <w:r w:rsidRPr="00244DAD">
        <w:rPr>
          <w:rFonts w:asciiTheme="minorHAnsi" w:hAnsiTheme="minorHAnsi" w:cstheme="minorHAnsi"/>
          <w:color w:val="000000" w:themeColor="text1"/>
          <w:sz w:val="22"/>
          <w:szCs w:val="28"/>
          <w:lang w:eastAsia="en-GB"/>
        </w:rPr>
        <w:t xml:space="preserve">Prior to the ECT serving their induction, the headteacher and appropriate body must agree that the post is suitable. </w:t>
      </w:r>
    </w:p>
    <w:p w14:paraId="6CF5C4EB"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For a full-time ECT, the induction </w:t>
      </w:r>
      <w:r w:rsidRPr="00244DAD">
        <w:rPr>
          <w:rFonts w:asciiTheme="minorHAnsi" w:hAnsiTheme="minorHAnsi" w:cstheme="minorHAnsi"/>
          <w:color w:val="000000" w:themeColor="text1"/>
          <w:sz w:val="22"/>
          <w:szCs w:val="28"/>
          <w:lang w:eastAsia="en-GB"/>
        </w:rPr>
        <w:t>period</w:t>
      </w:r>
      <w:r w:rsidRPr="00244DAD">
        <w:rPr>
          <w:rFonts w:asciiTheme="minorHAnsi" w:hAnsiTheme="minorHAnsi" w:cstheme="minorHAnsi"/>
          <w:color w:val="000000" w:themeColor="text1"/>
          <w:sz w:val="22"/>
          <w:szCs w:val="28"/>
          <w:lang w:val="en-GB" w:eastAsia="en-GB"/>
        </w:rPr>
        <w:t xml:space="preserve"> will typically last for 2 academic years. Part-time ECTs will serve a full-time equivalent.</w:t>
      </w:r>
      <w:r w:rsidRPr="00244DAD">
        <w:rPr>
          <w:rFonts w:asciiTheme="minorHAnsi" w:hAnsiTheme="minorHAnsi" w:cstheme="minorHAnsi"/>
          <w:color w:val="000000" w:themeColor="text1"/>
          <w:sz w:val="22"/>
          <w:szCs w:val="28"/>
          <w:lang w:eastAsia="en-GB"/>
        </w:rPr>
        <w:t xml:space="preserve"> Up to one term of continuous employment may count towards completion of the induction period.</w:t>
      </w:r>
    </w:p>
    <w:p w14:paraId="2B906967"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programme is quality assured by our ‘appropriate body’.</w:t>
      </w:r>
    </w:p>
    <w:p w14:paraId="5E285BF9"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4.1 Posts for induction</w:t>
      </w:r>
    </w:p>
    <w:p w14:paraId="4D5D4B34"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Each ECT will:</w:t>
      </w:r>
    </w:p>
    <w:p w14:paraId="0F1AEB60" w14:textId="77777777" w:rsidR="008E34B7"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Be provided with regular CPD sessions in addition to those provided to more experienced teachers</w:t>
      </w:r>
    </w:p>
    <w:p w14:paraId="16C4816B"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Be provided with the necessary employment tasks, experience and support to enable them to demonstrate satisfactory performance against the relevant standards throughout, and by the end of, the induction period</w:t>
      </w:r>
    </w:p>
    <w:p w14:paraId="0BA59A8D"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Have an appointed induction tutor, who will have qualified teacher status (QTS)</w:t>
      </w:r>
    </w:p>
    <w:p w14:paraId="6B26BAEF"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Have an appointed induction mentor, who will have QTS</w:t>
      </w:r>
    </w:p>
    <w:p w14:paraId="47DE4701"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3556C5A9"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Regularly teach the same class or classes</w:t>
      </w:r>
    </w:p>
    <w:p w14:paraId="5CE9A522"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Take part in similar planning, teaching and assessment processes to other teachers working in similar posts</w:t>
      </w:r>
    </w:p>
    <w:p w14:paraId="0A70E0CC"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Not be given additional non-teaching responsibilities without appropriate preparation and support</w:t>
      </w:r>
    </w:p>
    <w:p w14:paraId="276CA49D"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Not have unreasonable demands made upon them (‘unreasonable’ wi</w:t>
      </w:r>
      <w:r w:rsidR="00431666" w:rsidRPr="00244DAD">
        <w:rPr>
          <w:rFonts w:asciiTheme="minorHAnsi" w:hAnsiTheme="minorHAnsi" w:cstheme="minorHAnsi"/>
          <w:color w:val="000000" w:themeColor="text1"/>
          <w:sz w:val="22"/>
          <w:szCs w:val="28"/>
          <w:lang w:val="en-GB" w:eastAsia="en-GB"/>
        </w:rPr>
        <w:t>ll be at the discretion of the H</w:t>
      </w:r>
      <w:r w:rsidRPr="00244DAD">
        <w:rPr>
          <w:rFonts w:asciiTheme="minorHAnsi" w:hAnsiTheme="minorHAnsi" w:cstheme="minorHAnsi"/>
          <w:color w:val="000000" w:themeColor="text1"/>
          <w:sz w:val="22"/>
          <w:szCs w:val="28"/>
          <w:lang w:val="en-GB" w:eastAsia="en-GB"/>
        </w:rPr>
        <w:t>ead</w:t>
      </w:r>
      <w:r w:rsidR="00431666" w:rsidRPr="00244DAD">
        <w:rPr>
          <w:rFonts w:asciiTheme="minorHAnsi" w:hAnsiTheme="minorHAnsi" w:cstheme="minorHAnsi"/>
          <w:color w:val="000000" w:themeColor="text1"/>
          <w:sz w:val="22"/>
          <w:szCs w:val="28"/>
          <w:lang w:val="en-GB" w:eastAsia="en-GB"/>
        </w:rPr>
        <w:t xml:space="preserve"> T</w:t>
      </w:r>
      <w:r w:rsidRPr="00244DAD">
        <w:rPr>
          <w:rFonts w:asciiTheme="minorHAnsi" w:hAnsiTheme="minorHAnsi" w:cstheme="minorHAnsi"/>
          <w:color w:val="000000" w:themeColor="text1"/>
          <w:sz w:val="22"/>
          <w:szCs w:val="28"/>
          <w:lang w:val="en-GB" w:eastAsia="en-GB"/>
        </w:rPr>
        <w:t>eacher in liaison with the appropriate body)</w:t>
      </w:r>
    </w:p>
    <w:p w14:paraId="0DF3DED9"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Not normally teach outside the age range and/or subjects they have been employed to teach</w:t>
      </w:r>
    </w:p>
    <w:p w14:paraId="5FB8ED11" w14:textId="77777777" w:rsidR="009128A0" w:rsidRPr="00244DAD" w:rsidRDefault="008E34B7">
      <w:pPr>
        <w:numPr>
          <w:ilvl w:val="0"/>
          <w:numId w:val="22"/>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Not be presented with unreasonably demanding pupil discipline problems on a day-to-day basis</w:t>
      </w:r>
    </w:p>
    <w:p w14:paraId="546B94E5"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4.2 Support for ECTs</w:t>
      </w:r>
    </w:p>
    <w:p w14:paraId="3E3BE85D"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We support ECTs with:</w:t>
      </w:r>
    </w:p>
    <w:p w14:paraId="1B4E0317" w14:textId="77777777" w:rsidR="009128A0" w:rsidRPr="00244DAD" w:rsidRDefault="008E34B7">
      <w:pPr>
        <w:numPr>
          <w:ilvl w:val="0"/>
          <w:numId w:val="23"/>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Their designated induction tutor, who will provide day-to-day monitoring and support, and co-ordinate their assessments</w:t>
      </w:r>
    </w:p>
    <w:p w14:paraId="1AD951E3" w14:textId="77777777" w:rsidR="009128A0" w:rsidRPr="00244DAD" w:rsidRDefault="008E34B7">
      <w:pPr>
        <w:numPr>
          <w:ilvl w:val="0"/>
          <w:numId w:val="23"/>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Their designated induction mentor, who will provide regular structured mentoring sessions and targeted feedback</w:t>
      </w:r>
    </w:p>
    <w:p w14:paraId="1E2744B6" w14:textId="77777777" w:rsidR="009128A0" w:rsidRPr="00244DAD" w:rsidRDefault="008E34B7">
      <w:pPr>
        <w:numPr>
          <w:ilvl w:val="0"/>
          <w:numId w:val="23"/>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lastRenderedPageBreak/>
        <w:t xml:space="preserve">Observations of their teaching at regular intervals, and follow-up discussions with prompt and constructive feedback </w:t>
      </w:r>
    </w:p>
    <w:p w14:paraId="6383CC63" w14:textId="77777777" w:rsidR="009128A0" w:rsidRPr="00244DAD" w:rsidRDefault="008E34B7">
      <w:pPr>
        <w:numPr>
          <w:ilvl w:val="0"/>
          <w:numId w:val="23"/>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Regular professional reviews of their progress, to take place termly (except in terms where formal assessment is held), at which their induction tutor will review objectives and revise them in relation to the relevant standards and their current needs and strengths</w:t>
      </w:r>
    </w:p>
    <w:p w14:paraId="5244DCBD" w14:textId="77777777" w:rsidR="009128A0" w:rsidRPr="00244DAD" w:rsidRDefault="008E34B7">
      <w:pPr>
        <w:numPr>
          <w:ilvl w:val="0"/>
          <w:numId w:val="23"/>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Chances to observe experienced teachers, either within the school or at another school with effective practice</w:t>
      </w:r>
    </w:p>
    <w:p w14:paraId="36D51248"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4.3 Assessments of ECT performance</w:t>
      </w:r>
    </w:p>
    <w:p w14:paraId="272B22E8"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Formal assessment meetings will take place in the final term of the ECT’s first year (term 3) and the final term of their second year (term 6), and will be carried out by the deputy headteacher and the ECT’s induction tutor.</w:t>
      </w:r>
    </w:p>
    <w:p w14:paraId="3CE6F473"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033CB546"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14:paraId="4B02FB92"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ECT will add their own comments, and the formal assessment report will be signed by the headteacher (or deputy), induction tutor and the ECT.</w:t>
      </w:r>
    </w:p>
    <w:p w14:paraId="4C79F246"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7D5036ED" w14:textId="77777777" w:rsidR="009128A0" w:rsidRPr="00244DAD" w:rsidRDefault="008E34B7">
      <w:pPr>
        <w:spacing w:before="120"/>
        <w:rPr>
          <w:rFonts w:asciiTheme="minorHAnsi" w:hAnsiTheme="minorHAnsi" w:cstheme="minorHAnsi"/>
          <w:color w:val="000000" w:themeColor="text1"/>
          <w:sz w:val="22"/>
          <w:szCs w:val="28"/>
          <w:lang w:eastAsia="en-GB"/>
        </w:rPr>
      </w:pPr>
      <w:r w:rsidRPr="00244DAD">
        <w:rPr>
          <w:rFonts w:asciiTheme="minorHAnsi" w:hAnsiTheme="minorHAnsi" w:cstheme="minorHAnsi"/>
          <w:color w:val="000000" w:themeColor="text1"/>
          <w:sz w:val="22"/>
          <w:szCs w:val="28"/>
          <w:lang w:eastAsia="en-GB"/>
        </w:rPr>
        <w:t>In the event that the ECT leaves this post after completing one term or more but before the next formal assessment would take place, the induction tutor or headteacher should complete an interim assessment to ensure that the ECT’s progress and performance since the last assessment is captured.</w:t>
      </w:r>
    </w:p>
    <w:p w14:paraId="09581797"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4.4 At-risk procedures</w:t>
      </w:r>
    </w:p>
    <w:p w14:paraId="138DA824"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If it becomes clear during a termly progress review or at the first formal assessment point that the ECT is not making sufficient progress, additional monitoring and support measures will be put in place immediately, meaning:</w:t>
      </w:r>
    </w:p>
    <w:p w14:paraId="3C782DF7" w14:textId="77777777" w:rsidR="009128A0" w:rsidRPr="00244DAD" w:rsidRDefault="008E34B7">
      <w:pPr>
        <w:numPr>
          <w:ilvl w:val="0"/>
          <w:numId w:val="24"/>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Areas in which improvement is needed are identified</w:t>
      </w:r>
    </w:p>
    <w:p w14:paraId="6988421B" w14:textId="77777777" w:rsidR="009128A0" w:rsidRPr="00244DAD" w:rsidRDefault="008E34B7">
      <w:pPr>
        <w:numPr>
          <w:ilvl w:val="0"/>
          <w:numId w:val="24"/>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Appropriate objectives are set to guide the ECT towards satisfactory performance against the relevant standards</w:t>
      </w:r>
    </w:p>
    <w:p w14:paraId="2B5CFCCC" w14:textId="77777777" w:rsidR="009128A0" w:rsidRPr="00244DAD" w:rsidRDefault="008E34B7">
      <w:pPr>
        <w:numPr>
          <w:ilvl w:val="0"/>
          <w:numId w:val="24"/>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An effective support programme is put in place to help the ECT improve their performance</w:t>
      </w:r>
    </w:p>
    <w:p w14:paraId="295AE2AC"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progress review record or formal assessment report will be shared with the appropriate body, alongside the support plan, for it to review.</w:t>
      </w:r>
    </w:p>
    <w:p w14:paraId="1EB69BAE"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5E7F28B8" w14:textId="77777777" w:rsidR="009128A0" w:rsidRPr="00244DAD" w:rsidRDefault="009128A0">
      <w:pPr>
        <w:rPr>
          <w:rFonts w:asciiTheme="minorHAnsi" w:hAnsiTheme="minorHAnsi" w:cstheme="minorHAnsi"/>
          <w:color w:val="000000" w:themeColor="text1"/>
          <w:sz w:val="22"/>
          <w:szCs w:val="28"/>
          <w:lang w:val="en-GB" w:eastAsia="en-GB"/>
        </w:rPr>
      </w:pPr>
    </w:p>
    <w:p w14:paraId="4F49F1C3"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11" w:name="_Toc25836419"/>
      <w:bookmarkStart w:id="12" w:name="_Toc71203493"/>
      <w:bookmarkStart w:id="13" w:name="_Toc102642825"/>
      <w:r w:rsidRPr="00244DAD">
        <w:rPr>
          <w:rFonts w:asciiTheme="minorHAnsi" w:eastAsia="Arial" w:hAnsiTheme="minorHAnsi" w:cstheme="minorHAnsi"/>
          <w:color w:val="000000" w:themeColor="text1"/>
          <w:sz w:val="32"/>
          <w:szCs w:val="32"/>
          <w:lang w:eastAsia="en-GB"/>
        </w:rPr>
        <w:t>5. Roles and responsibilities</w:t>
      </w:r>
      <w:bookmarkEnd w:id="11"/>
      <w:bookmarkEnd w:id="12"/>
      <w:bookmarkEnd w:id="13"/>
    </w:p>
    <w:p w14:paraId="62CC944A"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lastRenderedPageBreak/>
        <w:t>5.1 Role of the ECT</w:t>
      </w:r>
    </w:p>
    <w:p w14:paraId="5D61BB8A"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ECT will:</w:t>
      </w:r>
    </w:p>
    <w:p w14:paraId="0964831D"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Provide evidence that they have QTS and are eligible to start induction</w:t>
      </w:r>
    </w:p>
    <w:p w14:paraId="7006AB2D"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Meet with their induction tutor at the start of the programme to discuss and agree priorities, and keep these under review</w:t>
      </w:r>
    </w:p>
    <w:p w14:paraId="4AE1CDAA"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Agree with their induction tutor how best to use their reduced timetable allowance and guarantee engagement with their ECF-based induction</w:t>
      </w:r>
    </w:p>
    <w:p w14:paraId="539BD763"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Provide evidence of their progress against the relevant standards</w:t>
      </w:r>
    </w:p>
    <w:p w14:paraId="1CA2C8A2"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Participate fully in the monitoring and development programme</w:t>
      </w:r>
    </w:p>
    <w:p w14:paraId="2BF7B643"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Participate in scheduled classroom observations, progress reviews and formal assessment meetings</w:t>
      </w:r>
    </w:p>
    <w:p w14:paraId="5917DFC9"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Agree with their induction tutor the start and end dates of the induction period, and the dates of any absences from work during the period </w:t>
      </w:r>
      <w:r w:rsidRPr="00244DAD">
        <w:rPr>
          <w:rFonts w:asciiTheme="minorHAnsi" w:hAnsiTheme="minorHAnsi" w:cstheme="minorHAnsi"/>
          <w:color w:val="000000" w:themeColor="text1"/>
          <w:sz w:val="22"/>
          <w:szCs w:val="28"/>
          <w:lang w:val="en-GB"/>
        </w:rPr>
        <w:t>(noting that until 1 September 2022, absences due to coronavirus – in the form of school closure, sickness or self-isolation – will not count towards the 30-day absence limit that would extend their ECT induction)</w:t>
      </w:r>
    </w:p>
    <w:p w14:paraId="03F10BBF" w14:textId="77777777" w:rsidR="009128A0" w:rsidRPr="00244DAD" w:rsidRDefault="008E34B7">
      <w:pPr>
        <w:numPr>
          <w:ilvl w:val="0"/>
          <w:numId w:val="25"/>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Keep copies of all assessment reports</w:t>
      </w:r>
    </w:p>
    <w:p w14:paraId="515C5D2D"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b/>
          <w:bCs/>
          <w:color w:val="000000" w:themeColor="text1"/>
          <w:sz w:val="22"/>
          <w:szCs w:val="28"/>
          <w:lang w:val="en-GB" w:eastAsia="en-GB"/>
        </w:rPr>
        <w:t>When the ECT has any</w:t>
      </w:r>
      <w:r w:rsidRPr="00244DAD">
        <w:rPr>
          <w:rFonts w:asciiTheme="minorHAnsi" w:hAnsiTheme="minorHAnsi" w:cstheme="minorHAnsi"/>
          <w:color w:val="000000" w:themeColor="text1"/>
          <w:sz w:val="22"/>
          <w:szCs w:val="28"/>
          <w:lang w:val="en-GB" w:eastAsia="en-GB"/>
        </w:rPr>
        <w:t xml:space="preserve"> </w:t>
      </w:r>
      <w:r w:rsidRPr="00244DAD">
        <w:rPr>
          <w:rFonts w:asciiTheme="minorHAnsi" w:hAnsiTheme="minorHAnsi" w:cstheme="minorHAnsi"/>
          <w:b/>
          <w:bCs/>
          <w:color w:val="000000" w:themeColor="text1"/>
          <w:sz w:val="22"/>
          <w:szCs w:val="28"/>
          <w:lang w:val="en-GB" w:eastAsia="en-GB"/>
        </w:rPr>
        <w:t>concerns</w:t>
      </w:r>
      <w:r w:rsidRPr="00244DAD">
        <w:rPr>
          <w:rFonts w:asciiTheme="minorHAnsi" w:hAnsiTheme="minorHAnsi" w:cstheme="minorHAnsi"/>
          <w:color w:val="000000" w:themeColor="text1"/>
          <w:sz w:val="22"/>
          <w:szCs w:val="28"/>
          <w:lang w:val="en-GB" w:eastAsia="en-GB"/>
        </w:rPr>
        <w:t xml:space="preserve">, they will: </w:t>
      </w:r>
    </w:p>
    <w:p w14:paraId="5F6F696D" w14:textId="77777777" w:rsidR="009128A0" w:rsidRPr="00244DAD" w:rsidRDefault="008E34B7">
      <w:pPr>
        <w:numPr>
          <w:ilvl w:val="0"/>
          <w:numId w:val="26"/>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Raise these with their induction tutor as soon as they can</w:t>
      </w:r>
    </w:p>
    <w:p w14:paraId="502C71E2" w14:textId="77777777" w:rsidR="009128A0" w:rsidRPr="00244DAD" w:rsidRDefault="008E34B7">
      <w:pPr>
        <w:numPr>
          <w:ilvl w:val="0"/>
          <w:numId w:val="26"/>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Consult with their contact at the appropriate body at an early stage if there are difficulties in resolving issues with their induction tutor or within the school</w:t>
      </w:r>
    </w:p>
    <w:p w14:paraId="5419CB89"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5.2 Role of the headteacher</w:t>
      </w:r>
    </w:p>
    <w:p w14:paraId="7CA217D7"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headteacher will:</w:t>
      </w:r>
    </w:p>
    <w:p w14:paraId="71798179"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Check that the ECT has been awarded QTS and whether they need to serve an induction period</w:t>
      </w:r>
    </w:p>
    <w:p w14:paraId="5D68EE39"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Agree, in advance of the ECT starting, who will act as the appropriate body</w:t>
      </w:r>
    </w:p>
    <w:p w14:paraId="1D87F6DF"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Notify the appropriate body when an ECT is taking up a post and undertaking induction</w:t>
      </w:r>
    </w:p>
    <w:p w14:paraId="04168DA6"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ECT’s post is suitable according to statutory guidance (see section 4.1 above)</w:t>
      </w:r>
    </w:p>
    <w:p w14:paraId="7044DB77"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induction tutor is appropriately trained and has sufficient time to carry out their role effectively</w:t>
      </w:r>
    </w:p>
    <w:p w14:paraId="1CA44CFC"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induction mentor is appropriately trained and has sufficient time to carry out their role effectively</w:t>
      </w:r>
    </w:p>
    <w:p w14:paraId="662A109F"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an appropriate ECF-based induction programme is in place</w:t>
      </w:r>
    </w:p>
    <w:p w14:paraId="76CCA2FD"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ECT’s progress is reviewed regularly, including through observations and feedback of their teaching</w:t>
      </w:r>
    </w:p>
    <w:p w14:paraId="2395AE16"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that formal assessments are carried out and reports completed and sent to the appropriate body</w:t>
      </w:r>
    </w:p>
    <w:p w14:paraId="4044444E" w14:textId="77777777" w:rsidR="009128A0" w:rsidRPr="00244DAD" w:rsidRDefault="008E34B7">
      <w:pPr>
        <w:pStyle w:val="4Bulletedcopyblue"/>
        <w:numPr>
          <w:ilvl w:val="0"/>
          <w:numId w:val="9"/>
        </w:numPr>
        <w:rPr>
          <w:rFonts w:asciiTheme="minorHAnsi" w:hAnsiTheme="minorHAnsi" w:cstheme="minorHAnsi"/>
          <w:color w:val="000000" w:themeColor="text1"/>
          <w:sz w:val="22"/>
          <w:szCs w:val="22"/>
          <w:lang w:val="en-GB"/>
        </w:rPr>
      </w:pPr>
      <w:r w:rsidRPr="00244DAD">
        <w:rPr>
          <w:rFonts w:asciiTheme="minorHAnsi" w:hAnsiTheme="minorHAnsi" w:cstheme="minorHAnsi"/>
          <w:color w:val="000000" w:themeColor="text1"/>
          <w:sz w:val="22"/>
          <w:szCs w:val="22"/>
          <w:lang w:val="en-GB" w:eastAsia="en-GB"/>
        </w:rPr>
        <w:t xml:space="preserve">Maintain and keep accurate records of employment that will count towards the induction period </w:t>
      </w:r>
      <w:r w:rsidRPr="00244DAD">
        <w:rPr>
          <w:rFonts w:asciiTheme="minorHAnsi" w:hAnsiTheme="minorHAnsi" w:cstheme="minorHAnsi"/>
          <w:color w:val="000000" w:themeColor="text1"/>
          <w:sz w:val="22"/>
          <w:szCs w:val="22"/>
          <w:lang w:val="en-GB"/>
        </w:rPr>
        <w:t>(noting that up until 1 September 2022, any absences due to coronavirus – in the form of school closure, sickness or self-isolation – will not count towards the 30-day absence limit that would extend the NQT’s induction)</w:t>
      </w:r>
    </w:p>
    <w:p w14:paraId="15FD34A9"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that all monitoring and record keeping is done in the least burdensome and most streamlined way</w:t>
      </w:r>
    </w:p>
    <w:p w14:paraId="2DDA0672"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lastRenderedPageBreak/>
        <w:t>Make the governing board aware of the support arrangements in place for the ECT</w:t>
      </w:r>
    </w:p>
    <w:p w14:paraId="20360F18"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a recommendation to the appropriate body on whether the ECT’s performance against the relevant standards is satisfactory</w:t>
      </w:r>
    </w:p>
    <w:p w14:paraId="54EDD0BA"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Participate in the appropriate body’s quality assurance procedures of the induction programmes</w:t>
      </w:r>
    </w:p>
    <w:p w14:paraId="426D5493" w14:textId="77777777" w:rsidR="009128A0" w:rsidRPr="00244DAD" w:rsidRDefault="008E34B7">
      <w:pPr>
        <w:numPr>
          <w:ilvl w:val="0"/>
          <w:numId w:val="27"/>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Keep all relevant documentation, evidence and forms on file for 6 years</w:t>
      </w:r>
    </w:p>
    <w:p w14:paraId="77525F8B"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5.3 Role of the induction tutor</w:t>
      </w:r>
    </w:p>
    <w:p w14:paraId="2E285707"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induction tutor will:</w:t>
      </w:r>
    </w:p>
    <w:p w14:paraId="5C9F6103" w14:textId="6C739206"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Provide guidance and effective support to the ECT</w:t>
      </w:r>
      <w:r w:rsidR="00FB7186">
        <w:rPr>
          <w:rFonts w:asciiTheme="minorHAnsi" w:hAnsiTheme="minorHAnsi" w:cstheme="minorHAnsi"/>
          <w:color w:val="000000" w:themeColor="text1"/>
          <w:sz w:val="22"/>
          <w:szCs w:val="28"/>
          <w:lang w:val="en-GB" w:eastAsia="en-GB"/>
        </w:rPr>
        <w:t xml:space="preserve"> </w:t>
      </w:r>
      <w:r w:rsidRPr="00244DAD">
        <w:rPr>
          <w:rFonts w:asciiTheme="minorHAnsi" w:hAnsiTheme="minorHAnsi" w:cstheme="minorHAnsi"/>
          <w:color w:val="000000" w:themeColor="text1"/>
          <w:sz w:val="22"/>
          <w:szCs w:val="28"/>
          <w:lang w:val="en-GB" w:eastAsia="en-GB"/>
        </w:rPr>
        <w:t>(with the appropriate body where necessary)</w:t>
      </w:r>
    </w:p>
    <w:p w14:paraId="69599624"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Carry out regular progress reviews throughout the induction period</w:t>
      </w:r>
    </w:p>
    <w:p w14:paraId="2CE1CC0E"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Undertake 2 formal assessment meetings during the induction period, coordinating input from other colleagues as appropriate</w:t>
      </w:r>
    </w:p>
    <w:p w14:paraId="6D5DFAEB"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Carry out progress reviews in terms where a formal assessment doesn’t occur</w:t>
      </w:r>
    </w:p>
    <w:p w14:paraId="496FEE4D"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Inform the ECT following progress reviews of their progress against the relevant standards, and share records with the ECT, headteacher and relevant body</w:t>
      </w:r>
    </w:p>
    <w:p w14:paraId="6615CD39"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Inform the ECT during the formal assessment meeting of the judgements to be recorded on their formal assessment record and invite the ECT to add their own comments</w:t>
      </w:r>
    </w:p>
    <w:p w14:paraId="6D6EE7F5"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that the ECT’s teaching is observed and feedback is provided</w:t>
      </w:r>
    </w:p>
    <w:p w14:paraId="52C5A38E"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ECT is aware of how they can raise concerns about their induction programme or their personal progress, both within and outside of the school</w:t>
      </w:r>
    </w:p>
    <w:p w14:paraId="03205AAD"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Take prompt, appropriate action if the ECT appears to be having difficulties</w:t>
      </w:r>
    </w:p>
    <w:p w14:paraId="0B435B65" w14:textId="77777777" w:rsidR="009128A0" w:rsidRPr="00244DAD" w:rsidRDefault="008E34B7">
      <w:pPr>
        <w:numPr>
          <w:ilvl w:val="0"/>
          <w:numId w:val="28"/>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that all monitoring and record keeping is done in the least burdensome way, and that ECTs are not asked for any evidence that requires the creation of new work</w:t>
      </w:r>
    </w:p>
    <w:p w14:paraId="3215DC2E"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5.4 Role of the induction mentor</w:t>
      </w:r>
    </w:p>
    <w:p w14:paraId="0BAC9ACF"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induction mentor will:</w:t>
      </w:r>
    </w:p>
    <w:p w14:paraId="77BBB413" w14:textId="77777777" w:rsidR="009128A0" w:rsidRPr="00244DAD" w:rsidRDefault="008E34B7">
      <w:pPr>
        <w:numPr>
          <w:ilvl w:val="0"/>
          <w:numId w:val="2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Regularly meet with the ECT for structured mentor sessions to provide targeted feedback</w:t>
      </w:r>
    </w:p>
    <w:p w14:paraId="76F84049" w14:textId="77777777" w:rsidR="009128A0" w:rsidRPr="00244DAD" w:rsidRDefault="008E34B7">
      <w:pPr>
        <w:numPr>
          <w:ilvl w:val="0"/>
          <w:numId w:val="2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Work with the ECT, and colleagues within the school who are involved in the ECT’s induction, to help make sure the ECT receives a high-quality ECF-based programme</w:t>
      </w:r>
    </w:p>
    <w:p w14:paraId="2CC73106" w14:textId="77777777" w:rsidR="009128A0" w:rsidRPr="00244DAD" w:rsidRDefault="008E34B7">
      <w:pPr>
        <w:numPr>
          <w:ilvl w:val="0"/>
          <w:numId w:val="2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Provide, or arrange, effective support – including subject-specific, phase-specific, coaching and/or mentoring</w:t>
      </w:r>
    </w:p>
    <w:p w14:paraId="70B07A6F" w14:textId="77777777" w:rsidR="009128A0" w:rsidRPr="00244DAD" w:rsidRDefault="008E34B7">
      <w:pPr>
        <w:numPr>
          <w:ilvl w:val="0"/>
          <w:numId w:val="29"/>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Act promptly and appropriately if the ECT appears to be having difficulties </w:t>
      </w:r>
    </w:p>
    <w:p w14:paraId="3D55EA90" w14:textId="77777777" w:rsidR="009128A0" w:rsidRPr="00244DAD" w:rsidRDefault="008E34B7">
      <w:pPr>
        <w:spacing w:before="240"/>
        <w:rPr>
          <w:rFonts w:asciiTheme="minorHAnsi" w:hAnsiTheme="minorHAnsi" w:cstheme="minorHAnsi"/>
          <w:color w:val="000000" w:themeColor="text1"/>
          <w:sz w:val="28"/>
          <w:szCs w:val="28"/>
          <w:lang w:val="en-GB" w:eastAsia="en-GB"/>
        </w:rPr>
      </w:pPr>
      <w:r w:rsidRPr="00244DAD">
        <w:rPr>
          <w:rFonts w:asciiTheme="minorHAnsi" w:hAnsiTheme="minorHAnsi" w:cstheme="minorHAnsi"/>
          <w:b/>
          <w:bCs/>
          <w:color w:val="000000" w:themeColor="text1"/>
          <w:sz w:val="28"/>
          <w:szCs w:val="28"/>
          <w:lang w:val="en-GB" w:eastAsia="en-GB"/>
        </w:rPr>
        <w:t>5.5 Role of the governing board</w:t>
      </w:r>
    </w:p>
    <w:p w14:paraId="24146211"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The governing board will:</w:t>
      </w:r>
    </w:p>
    <w:p w14:paraId="3D02F227" w14:textId="77777777" w:rsidR="009128A0" w:rsidRPr="00244DAD" w:rsidRDefault="008E34B7">
      <w:pPr>
        <w:numPr>
          <w:ilvl w:val="0"/>
          <w:numId w:val="3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school complies with statutory guidance on ECT induction</w:t>
      </w:r>
    </w:p>
    <w:p w14:paraId="3510A30D" w14:textId="77777777" w:rsidR="009128A0" w:rsidRPr="00244DAD" w:rsidRDefault="008E34B7">
      <w:pPr>
        <w:numPr>
          <w:ilvl w:val="0"/>
          <w:numId w:val="3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Be satisfied that the school has the capacity to support the ECT</w:t>
      </w:r>
    </w:p>
    <w:p w14:paraId="5A4BFE3E" w14:textId="77777777" w:rsidR="009128A0" w:rsidRPr="00244DAD" w:rsidRDefault="008E34B7">
      <w:pPr>
        <w:numPr>
          <w:ilvl w:val="0"/>
          <w:numId w:val="3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Make sure the headteacher is fulfilling their responsibility to meet the requirements of a suitable induction post</w:t>
      </w:r>
    </w:p>
    <w:p w14:paraId="3065662B" w14:textId="77777777" w:rsidR="009128A0" w:rsidRPr="00244DAD" w:rsidRDefault="008E34B7">
      <w:pPr>
        <w:numPr>
          <w:ilvl w:val="0"/>
          <w:numId w:val="3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Investigate concerns raised by the ECT as part of the school’s grievance procedures</w:t>
      </w:r>
    </w:p>
    <w:p w14:paraId="3D0D4AB3" w14:textId="77777777" w:rsidR="009128A0" w:rsidRPr="00244DAD" w:rsidRDefault="008E34B7">
      <w:pPr>
        <w:numPr>
          <w:ilvl w:val="0"/>
          <w:numId w:val="3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lastRenderedPageBreak/>
        <w:t xml:space="preserve">If it </w:t>
      </w:r>
      <w:r w:rsidRPr="00244DAD">
        <w:rPr>
          <w:rFonts w:asciiTheme="minorHAnsi" w:hAnsiTheme="minorHAnsi" w:cstheme="minorHAnsi"/>
          <w:color w:val="000000" w:themeColor="text1"/>
          <w:sz w:val="22"/>
          <w:szCs w:val="28"/>
          <w:lang w:eastAsia="en-GB"/>
        </w:rPr>
        <w:t xml:space="preserve">has any concerns or questions, </w:t>
      </w:r>
      <w:r w:rsidRPr="00244DAD">
        <w:rPr>
          <w:rFonts w:asciiTheme="minorHAnsi" w:hAnsiTheme="minorHAnsi" w:cstheme="minorHAnsi"/>
          <w:color w:val="000000" w:themeColor="text1"/>
          <w:sz w:val="22"/>
          <w:szCs w:val="28"/>
          <w:lang w:val="en-GB" w:eastAsia="en-GB"/>
        </w:rPr>
        <w:t>seek guidance from the appropriate body on the quality of the induction arrangements and the roles and responsibilities of staff involved in the process</w:t>
      </w:r>
    </w:p>
    <w:p w14:paraId="41F78F04" w14:textId="77777777" w:rsidR="009128A0" w:rsidRPr="00244DAD" w:rsidRDefault="008E34B7">
      <w:pPr>
        <w:numPr>
          <w:ilvl w:val="0"/>
          <w:numId w:val="30"/>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If it wishes, request general reports on the progress of the ECT</w:t>
      </w:r>
      <w:r w:rsidRPr="00244DAD">
        <w:rPr>
          <w:rFonts w:asciiTheme="minorHAnsi" w:hAnsiTheme="minorHAnsi" w:cstheme="minorHAnsi"/>
          <w:color w:val="000000" w:themeColor="text1"/>
          <w:sz w:val="22"/>
          <w:szCs w:val="28"/>
          <w:lang w:eastAsia="en-GB"/>
        </w:rPr>
        <w:t xml:space="preserve"> on a termly basis</w:t>
      </w:r>
    </w:p>
    <w:p w14:paraId="51366C10" w14:textId="77777777" w:rsidR="009128A0" w:rsidRPr="00244DAD" w:rsidRDefault="009128A0">
      <w:pPr>
        <w:pStyle w:val="Heading1"/>
        <w:rPr>
          <w:rFonts w:asciiTheme="minorHAnsi" w:hAnsiTheme="minorHAnsi" w:cstheme="minorHAnsi"/>
          <w:color w:val="000000" w:themeColor="text1"/>
          <w:sz w:val="32"/>
          <w:szCs w:val="32"/>
          <w:lang w:eastAsia="en-GB"/>
        </w:rPr>
      </w:pPr>
    </w:p>
    <w:p w14:paraId="2FDC72F6"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14" w:name="_Toc25836420"/>
      <w:bookmarkStart w:id="15" w:name="_Toc71203494"/>
      <w:bookmarkStart w:id="16" w:name="_Toc102642826"/>
      <w:r w:rsidRPr="00244DAD">
        <w:rPr>
          <w:rFonts w:asciiTheme="minorHAnsi" w:eastAsia="Arial" w:hAnsiTheme="minorHAnsi" w:cstheme="minorHAnsi"/>
          <w:color w:val="000000" w:themeColor="text1"/>
          <w:sz w:val="32"/>
          <w:szCs w:val="32"/>
          <w:lang w:eastAsia="en-GB"/>
        </w:rPr>
        <w:t>6. Monitoring arrangements</w:t>
      </w:r>
      <w:bookmarkEnd w:id="14"/>
      <w:bookmarkEnd w:id="15"/>
      <w:bookmarkEnd w:id="16"/>
    </w:p>
    <w:p w14:paraId="37331658"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 xml:space="preserve">This policy will be reviewed </w:t>
      </w:r>
      <w:r w:rsidRPr="00244DAD">
        <w:rPr>
          <w:rFonts w:asciiTheme="minorHAnsi" w:hAnsiTheme="minorHAnsi" w:cstheme="minorHAnsi"/>
          <w:b/>
          <w:bCs/>
          <w:color w:val="000000" w:themeColor="text1"/>
          <w:sz w:val="22"/>
          <w:szCs w:val="28"/>
          <w:lang w:val="en-GB" w:eastAsia="en-GB"/>
        </w:rPr>
        <w:t>annually</w:t>
      </w:r>
      <w:r w:rsidRPr="00244DAD">
        <w:rPr>
          <w:rFonts w:asciiTheme="minorHAnsi" w:hAnsiTheme="minorHAnsi" w:cstheme="minorHAnsi"/>
          <w:color w:val="000000" w:themeColor="text1"/>
          <w:sz w:val="22"/>
          <w:szCs w:val="28"/>
          <w:lang w:val="en-GB" w:eastAsia="en-GB"/>
        </w:rPr>
        <w:t xml:space="preserve"> by the deputy headteacher. At every review, it will be approved by the full governing board.</w:t>
      </w:r>
    </w:p>
    <w:p w14:paraId="3DECF2AE" w14:textId="77777777" w:rsidR="009128A0" w:rsidRPr="00244DAD" w:rsidRDefault="009128A0">
      <w:pPr>
        <w:rPr>
          <w:rFonts w:asciiTheme="minorHAnsi" w:hAnsiTheme="minorHAnsi" w:cstheme="minorHAnsi"/>
          <w:color w:val="000000" w:themeColor="text1"/>
          <w:sz w:val="22"/>
          <w:szCs w:val="28"/>
          <w:lang w:val="en-GB" w:eastAsia="en-GB"/>
        </w:rPr>
      </w:pPr>
    </w:p>
    <w:p w14:paraId="4626C657" w14:textId="77777777" w:rsidR="009128A0" w:rsidRPr="00244DAD" w:rsidRDefault="008E34B7">
      <w:pPr>
        <w:pStyle w:val="Heading1"/>
        <w:rPr>
          <w:rFonts w:asciiTheme="minorHAnsi" w:hAnsiTheme="minorHAnsi" w:cstheme="minorHAnsi"/>
          <w:color w:val="000000" w:themeColor="text1"/>
          <w:sz w:val="32"/>
          <w:szCs w:val="32"/>
          <w:lang w:eastAsia="en-GB"/>
        </w:rPr>
      </w:pPr>
      <w:bookmarkStart w:id="17" w:name="_Toc25836421"/>
      <w:bookmarkStart w:id="18" w:name="_Toc71203495"/>
      <w:bookmarkStart w:id="19" w:name="_Toc102642827"/>
      <w:r w:rsidRPr="00244DAD">
        <w:rPr>
          <w:rFonts w:asciiTheme="minorHAnsi" w:eastAsia="Arial" w:hAnsiTheme="minorHAnsi" w:cstheme="minorHAnsi"/>
          <w:color w:val="000000" w:themeColor="text1"/>
          <w:sz w:val="32"/>
          <w:szCs w:val="32"/>
          <w:lang w:eastAsia="en-GB"/>
        </w:rPr>
        <w:t>7. Links with other policies</w:t>
      </w:r>
      <w:bookmarkEnd w:id="17"/>
      <w:bookmarkEnd w:id="18"/>
      <w:bookmarkEnd w:id="19"/>
    </w:p>
    <w:p w14:paraId="5893DC3C" w14:textId="77777777" w:rsidR="009128A0" w:rsidRPr="00244DAD" w:rsidRDefault="008E34B7">
      <w:pPr>
        <w:rPr>
          <w:rFonts w:asciiTheme="minorHAnsi"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This policy links to the following policies and procedures:</w:t>
      </w:r>
    </w:p>
    <w:p w14:paraId="3B74C177" w14:textId="77777777" w:rsidR="009128A0" w:rsidRPr="00244DAD" w:rsidRDefault="008E34B7">
      <w:pPr>
        <w:numPr>
          <w:ilvl w:val="0"/>
          <w:numId w:val="31"/>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Appraisal</w:t>
      </w:r>
    </w:p>
    <w:p w14:paraId="092EB9A4" w14:textId="77777777" w:rsidR="009128A0" w:rsidRPr="00244DAD" w:rsidRDefault="008E34B7">
      <w:pPr>
        <w:numPr>
          <w:ilvl w:val="0"/>
          <w:numId w:val="31"/>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Grievance</w:t>
      </w:r>
    </w:p>
    <w:p w14:paraId="60948006" w14:textId="77777777" w:rsidR="009128A0" w:rsidRPr="00244DAD" w:rsidRDefault="008E34B7">
      <w:pPr>
        <w:numPr>
          <w:ilvl w:val="0"/>
          <w:numId w:val="31"/>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Pay</w:t>
      </w:r>
    </w:p>
    <w:p w14:paraId="3C004FE7" w14:textId="77777777" w:rsidR="009128A0" w:rsidRPr="00244DAD" w:rsidRDefault="008E34B7">
      <w:pPr>
        <w:numPr>
          <w:ilvl w:val="0"/>
          <w:numId w:val="31"/>
        </w:numPr>
        <w:ind w:left="340" w:hanging="261"/>
        <w:rPr>
          <w:rFonts w:asciiTheme="minorHAnsi" w:eastAsia="Times New Roman" w:hAnsiTheme="minorHAnsi" w:cstheme="minorHAnsi"/>
          <w:color w:val="000000" w:themeColor="text1"/>
          <w:sz w:val="22"/>
          <w:szCs w:val="28"/>
          <w:lang w:val="en-GB" w:eastAsia="en-GB"/>
        </w:rPr>
      </w:pPr>
      <w:r w:rsidRPr="00244DAD">
        <w:rPr>
          <w:rFonts w:asciiTheme="minorHAnsi" w:hAnsiTheme="minorHAnsi" w:cstheme="minorHAnsi"/>
          <w:color w:val="000000" w:themeColor="text1"/>
          <w:sz w:val="22"/>
          <w:szCs w:val="28"/>
          <w:lang w:val="en-GB" w:eastAsia="en-GB"/>
        </w:rPr>
        <w:t>Learning and Teaching</w:t>
      </w:r>
    </w:p>
    <w:p w14:paraId="73063612" w14:textId="77777777" w:rsidR="009128A0" w:rsidRPr="00244DAD" w:rsidRDefault="009128A0">
      <w:pPr>
        <w:rPr>
          <w:rFonts w:asciiTheme="minorHAnsi" w:hAnsiTheme="minorHAnsi" w:cstheme="minorHAnsi"/>
          <w:color w:val="000000" w:themeColor="text1"/>
          <w:lang w:val="en-GB" w:eastAsia="en-GB"/>
        </w:rPr>
      </w:pPr>
    </w:p>
    <w:p w14:paraId="5055329F" w14:textId="77777777" w:rsidR="009128A0" w:rsidRPr="00244DAD" w:rsidRDefault="009128A0">
      <w:pPr>
        <w:pStyle w:val="Heading1"/>
        <w:rPr>
          <w:rFonts w:asciiTheme="minorHAnsi" w:hAnsiTheme="minorHAnsi" w:cstheme="minorHAnsi"/>
          <w:color w:val="000000" w:themeColor="text1"/>
        </w:rPr>
      </w:pPr>
    </w:p>
    <w:p w14:paraId="6F83CEC2" w14:textId="77777777" w:rsidR="009128A0" w:rsidRPr="00244DAD" w:rsidRDefault="009128A0">
      <w:pPr>
        <w:rPr>
          <w:rFonts w:asciiTheme="minorHAnsi" w:hAnsiTheme="minorHAnsi" w:cstheme="minorHAnsi"/>
          <w:color w:val="000000" w:themeColor="text1"/>
        </w:rPr>
      </w:pPr>
    </w:p>
    <w:p w14:paraId="2E9FCFE1" w14:textId="77777777" w:rsidR="009128A0" w:rsidRPr="00244DAD" w:rsidRDefault="009128A0">
      <w:pPr>
        <w:pStyle w:val="1bodycopy10pt"/>
        <w:rPr>
          <w:rFonts w:asciiTheme="minorHAnsi" w:hAnsiTheme="minorHAnsi" w:cstheme="minorHAnsi"/>
          <w:color w:val="000000" w:themeColor="text1"/>
          <w:sz w:val="22"/>
          <w:szCs w:val="22"/>
          <w:lang w:val="en-GB"/>
        </w:rPr>
      </w:pPr>
    </w:p>
    <w:sectPr w:rsidR="009128A0" w:rsidRPr="00244DAD">
      <w:headerReference w:type="even" r:id="rId17"/>
      <w:headerReference w:type="default" r:id="rId18"/>
      <w:footerReference w:type="default" r:id="rId19"/>
      <w:headerReference w:type="first" r:id="rId20"/>
      <w:footerReference w:type="first" r:id="rId21"/>
      <w:pgSz w:w="11900" w:h="16840" w:code="9"/>
      <w:pgMar w:top="992" w:right="1077" w:bottom="993"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07AF" w14:textId="77777777" w:rsidR="00A2143D" w:rsidRDefault="00A2143D">
      <w:r>
        <w:separator/>
      </w:r>
    </w:p>
  </w:endnote>
  <w:endnote w:type="continuationSeparator" w:id="0">
    <w:p w14:paraId="71432BC4" w14:textId="77777777" w:rsidR="00A2143D" w:rsidRDefault="00A2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E2ED" w14:textId="77777777" w:rsidR="009128A0" w:rsidRDefault="008E34B7">
    <w:pPr>
      <w:pStyle w:val="Footer"/>
    </w:pPr>
    <w:r>
      <w:fldChar w:fldCharType="begin"/>
    </w:r>
    <w:r>
      <w:instrText xml:space="preserve"> PAGE   \* MERGEFORMAT </w:instrText>
    </w:r>
    <w:r>
      <w:fldChar w:fldCharType="separate"/>
    </w:r>
    <w:r w:rsidR="0056029E">
      <w:rPr>
        <w:noProof/>
      </w:rPr>
      <w:t>2</w:t>
    </w:r>
    <w:r>
      <w:rPr>
        <w:noProof/>
      </w:rPr>
      <w:fldChar w:fldCharType="end"/>
    </w:r>
  </w:p>
  <w:p w14:paraId="77A4631B" w14:textId="77777777" w:rsidR="009128A0" w:rsidRDefault="009128A0">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0018" w14:textId="77777777" w:rsidR="009128A0" w:rsidRDefault="008E34B7">
    <w:pPr>
      <w:pStyle w:val="Footer"/>
    </w:pPr>
    <w:r>
      <w:fldChar w:fldCharType="begin"/>
    </w:r>
    <w:r>
      <w:instrText xml:space="preserve"> PAGE   \* MERGEFORMAT </w:instrText>
    </w:r>
    <w:r>
      <w:fldChar w:fldCharType="separate"/>
    </w:r>
    <w:r w:rsidR="0056029E">
      <w:rPr>
        <w:noProof/>
      </w:rPr>
      <w:t>1</w:t>
    </w:r>
    <w:r>
      <w:rPr>
        <w:noProof/>
      </w:rPr>
      <w:fldChar w:fldCharType="end"/>
    </w:r>
  </w:p>
  <w:p w14:paraId="66C963F2" w14:textId="77777777" w:rsidR="009128A0" w:rsidRDefault="009128A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F582" w14:textId="77777777" w:rsidR="00A2143D" w:rsidRDefault="00A2143D">
      <w:r>
        <w:separator/>
      </w:r>
    </w:p>
  </w:footnote>
  <w:footnote w:type="continuationSeparator" w:id="0">
    <w:p w14:paraId="54565F9D" w14:textId="77777777" w:rsidR="00A2143D" w:rsidRDefault="00A2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C9AE" w14:textId="77777777" w:rsidR="009128A0" w:rsidRDefault="008E34B7">
    <w:r>
      <w:rPr>
        <w:noProof/>
        <w:lang w:val="en-GB" w:eastAsia="en-GB"/>
      </w:rPr>
      <w:drawing>
        <wp:anchor distT="0" distB="0" distL="114300" distR="114300" simplePos="0" relativeHeight="251657216" behindDoc="1" locked="0" layoutInCell="1" allowOverlap="1" wp14:anchorId="565C8C3D" wp14:editId="377CE8D6">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58D30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83EE" w14:textId="77777777" w:rsidR="009128A0" w:rsidRDefault="009128A0"/>
  <w:p w14:paraId="7B561800" w14:textId="77777777" w:rsidR="009128A0" w:rsidRDefault="009128A0"/>
  <w:p w14:paraId="30E3B056" w14:textId="77777777" w:rsidR="009128A0" w:rsidRDefault="009128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EAB6" w14:textId="77777777" w:rsidR="009128A0" w:rsidRDefault="009128A0"/>
  <w:p w14:paraId="3007FAFF" w14:textId="77777777" w:rsidR="009128A0" w:rsidRDefault="009128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570F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5094804" o:spid="_x0000_i1025" type="#_x0000_t75" style="width:36pt;height:30pt;visibility:visible;mso-wrap-style:square">
            <v:imagedata r:id="rId1" o:title=""/>
          </v:shape>
        </w:pict>
      </mc:Choice>
      <mc:Fallback>
        <w:drawing>
          <wp:inline distT="0" distB="0" distL="0" distR="0" wp14:anchorId="7D3DC6E6" wp14:editId="460458DF">
            <wp:extent cx="457200" cy="381000"/>
            <wp:effectExtent l="0" t="0" r="0" b="0"/>
            <wp:docPr id="575094804" name="Picture 57509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521415A1" id="Picture 1985827729" o:spid="_x0000_i1025" type="#_x0000_t75" style="width:30pt;height:30pt;visibility:visible;mso-wrap-style:square">
            <v:imagedata r:id="rId3" o:title=""/>
          </v:shape>
        </w:pict>
      </mc:Choice>
      <mc:Fallback>
        <w:drawing>
          <wp:inline distT="0" distB="0" distL="0" distR="0" wp14:anchorId="2FD22B78" wp14:editId="2CDA66DF">
            <wp:extent cx="381000" cy="381000"/>
            <wp:effectExtent l="0" t="0" r="0" b="0"/>
            <wp:docPr id="1985827729" name="Picture 198582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459116EE" id="Picture 1154326384" o:spid="_x0000_i1025" type="#_x0000_t75" style="width:209.25pt;height:331.5pt;visibility:visible;mso-wrap-style:square">
            <v:imagedata r:id="rId5" o:title=""/>
          </v:shape>
        </w:pict>
      </mc:Choice>
      <mc:Fallback>
        <w:drawing>
          <wp:inline distT="0" distB="0" distL="0" distR="0" wp14:anchorId="51A94F67" wp14:editId="67580CD0">
            <wp:extent cx="2657475" cy="4210050"/>
            <wp:effectExtent l="0" t="0" r="0" b="0"/>
            <wp:docPr id="1154326384" name="Picture 115432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4210050"/>
                    </a:xfrm>
                    <a:prstGeom prst="rect">
                      <a:avLst/>
                    </a:prstGeom>
                    <a:noFill/>
                    <a:ln>
                      <a:noFill/>
                    </a:ln>
                  </pic:spPr>
                </pic:pic>
              </a:graphicData>
            </a:graphic>
          </wp:inline>
        </w:drawing>
      </mc:Fallback>
    </mc:AlternateContent>
  </w:numPicBullet>
  <w:numPicBullet w:numPicBulletId="3">
    <mc:AlternateContent>
      <mc:Choice Requires="v">
        <w:pict>
          <v:shape w14:anchorId="688F9BC6" id="Picture 632592259" o:spid="_x0000_i1025" type="#_x0000_t75" style="width:209.25pt;height:331.5pt;visibility:visible;mso-wrap-style:square">
            <v:imagedata r:id="rId7" o:title=""/>
          </v:shape>
        </w:pict>
      </mc:Choice>
      <mc:Fallback>
        <w:drawing>
          <wp:inline distT="0" distB="0" distL="0" distR="0" wp14:anchorId="37F08511" wp14:editId="212DC088">
            <wp:extent cx="2657475" cy="4210050"/>
            <wp:effectExtent l="0" t="0" r="0" b="0"/>
            <wp:docPr id="632592259" name="Picture 63259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210050"/>
                    </a:xfrm>
                    <a:prstGeom prst="rect">
                      <a:avLst/>
                    </a:prstGeom>
                    <a:noFill/>
                    <a:ln>
                      <a:noFill/>
                    </a:ln>
                  </pic:spPr>
                </pic:pic>
              </a:graphicData>
            </a:graphic>
          </wp:inline>
        </w:drawing>
      </mc:Fallback>
    </mc:AlternateContent>
  </w:numPicBullet>
  <w:numPicBullet w:numPicBulletId="4">
    <mc:AlternateContent>
      <mc:Choice Requires="v">
        <w:pict>
          <v:shape w14:anchorId="1CF6E322" id="Picture 946391947" o:spid="_x0000_i1025" type="#_x0000_t75" style="width:6.75pt;height:10.5pt;visibility:visible;mso-wrap-style:square">
            <v:imagedata r:id="rId9" o:title=""/>
          </v:shape>
        </w:pict>
      </mc:Choice>
      <mc:Fallback>
        <w:drawing>
          <wp:inline distT="0" distB="0" distL="0" distR="0" wp14:anchorId="733FF5B3" wp14:editId="77C1BB20">
            <wp:extent cx="85725" cy="133350"/>
            <wp:effectExtent l="0" t="0" r="0" b="0"/>
            <wp:docPr id="946391947" name="Picture 94639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B612B"/>
    <w:multiLevelType w:val="hybridMultilevel"/>
    <w:tmpl w:val="FFB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84502272">
    <w:abstractNumId w:val="20"/>
  </w:num>
  <w:num w:numId="2" w16cid:durableId="308755783">
    <w:abstractNumId w:val="15"/>
  </w:num>
  <w:num w:numId="3" w16cid:durableId="1409839863">
    <w:abstractNumId w:val="18"/>
  </w:num>
  <w:num w:numId="4" w16cid:durableId="1113481223">
    <w:abstractNumId w:val="21"/>
  </w:num>
  <w:num w:numId="5" w16cid:durableId="1025206553">
    <w:abstractNumId w:val="13"/>
  </w:num>
  <w:num w:numId="6" w16cid:durableId="679429928">
    <w:abstractNumId w:val="17"/>
  </w:num>
  <w:num w:numId="7" w16cid:durableId="1292636245">
    <w:abstractNumId w:val="14"/>
  </w:num>
  <w:num w:numId="8" w16cid:durableId="313606575">
    <w:abstractNumId w:val="16"/>
  </w:num>
  <w:num w:numId="9" w16cid:durableId="1106537571">
    <w:abstractNumId w:val="22"/>
  </w:num>
  <w:num w:numId="10" w16cid:durableId="1915167712">
    <w:abstractNumId w:val="18"/>
  </w:num>
  <w:num w:numId="11" w16cid:durableId="498233025">
    <w:abstractNumId w:val="15"/>
  </w:num>
  <w:num w:numId="12" w16cid:durableId="117989332">
    <w:abstractNumId w:val="22"/>
  </w:num>
  <w:num w:numId="13" w16cid:durableId="2137486401">
    <w:abstractNumId w:val="20"/>
  </w:num>
  <w:num w:numId="14" w16cid:durableId="499585117">
    <w:abstractNumId w:val="21"/>
  </w:num>
  <w:num w:numId="15" w16cid:durableId="295532998">
    <w:abstractNumId w:val="14"/>
  </w:num>
  <w:num w:numId="16" w16cid:durableId="1419869581">
    <w:abstractNumId w:val="16"/>
  </w:num>
  <w:num w:numId="17" w16cid:durableId="1422409032">
    <w:abstractNumId w:val="21"/>
  </w:num>
  <w:num w:numId="18" w16cid:durableId="1696687065">
    <w:abstractNumId w:val="19"/>
  </w:num>
  <w:num w:numId="19" w16cid:durableId="1195508027">
    <w:abstractNumId w:val="0"/>
  </w:num>
  <w:num w:numId="20" w16cid:durableId="1766724381">
    <w:abstractNumId w:val="1"/>
  </w:num>
  <w:num w:numId="21" w16cid:durableId="262953884">
    <w:abstractNumId w:val="2"/>
  </w:num>
  <w:num w:numId="22" w16cid:durableId="1884947063">
    <w:abstractNumId w:val="3"/>
  </w:num>
  <w:num w:numId="23" w16cid:durableId="1148550975">
    <w:abstractNumId w:val="4"/>
  </w:num>
  <w:num w:numId="24" w16cid:durableId="1153108921">
    <w:abstractNumId w:val="5"/>
  </w:num>
  <w:num w:numId="25" w16cid:durableId="892499986">
    <w:abstractNumId w:val="6"/>
  </w:num>
  <w:num w:numId="26" w16cid:durableId="8416850">
    <w:abstractNumId w:val="7"/>
  </w:num>
  <w:num w:numId="27" w16cid:durableId="1868905646">
    <w:abstractNumId w:val="8"/>
  </w:num>
  <w:num w:numId="28" w16cid:durableId="1929462842">
    <w:abstractNumId w:val="9"/>
  </w:num>
  <w:num w:numId="29" w16cid:durableId="855120881">
    <w:abstractNumId w:val="10"/>
  </w:num>
  <w:num w:numId="30" w16cid:durableId="1248003433">
    <w:abstractNumId w:val="11"/>
  </w:num>
  <w:num w:numId="31" w16cid:durableId="907122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A0"/>
    <w:rsid w:val="00244DAD"/>
    <w:rsid w:val="00431666"/>
    <w:rsid w:val="00467863"/>
    <w:rsid w:val="00481A0F"/>
    <w:rsid w:val="005464B4"/>
    <w:rsid w:val="0056029E"/>
    <w:rsid w:val="006578C7"/>
    <w:rsid w:val="006E3198"/>
    <w:rsid w:val="007C7E64"/>
    <w:rsid w:val="007E19DD"/>
    <w:rsid w:val="008E34B7"/>
    <w:rsid w:val="009128A0"/>
    <w:rsid w:val="00A2143D"/>
    <w:rsid w:val="00AF63A5"/>
    <w:rsid w:val="00B561B6"/>
    <w:rsid w:val="00BA0B64"/>
    <w:rsid w:val="00FB7186"/>
    <w:rsid w:val="00FC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11DC5"/>
  <w15:chartTrackingRefBased/>
  <w15:docId w15:val="{D4DFFA50-2CF3-42D5-8FEB-E8352FEF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eastAsia="Calibri" w:cs="Arial"/>
      <w:b/>
      <w:color w:val="FF1F64"/>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eastAsia="Times New Roman" w:cs="Times New Roman"/>
      <w:b/>
      <w:color w:val="0D1C2F"/>
      <w:sz w:val="24"/>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0"/>
      </w:numPr>
      <w:suppressAutoHyphens/>
      <w:ind w:right="284"/>
    </w:pPr>
    <w:rPr>
      <w:rFonts w:cs="Arial"/>
      <w:b/>
      <w:sz w:val="24"/>
      <w:szCs w:val="20"/>
    </w:rPr>
  </w:style>
  <w:style w:type="paragraph" w:customStyle="1" w:styleId="7DOsbullet">
    <w:name w:val="7 DOs bullet"/>
    <w:basedOn w:val="Normal"/>
    <w:pPr>
      <w:numPr>
        <w:numId w:val="11"/>
      </w:numPr>
      <w:ind w:right="284"/>
    </w:pPr>
    <w:rPr>
      <w:rFonts w:cs="Arial"/>
      <w:b/>
      <w:sz w:val="24"/>
      <w:szCs w:val="20"/>
    </w:rPr>
  </w:style>
  <w:style w:type="paragraph" w:customStyle="1" w:styleId="4Bulletedcopyblue">
    <w:name w:val="4 Bulleted copy blue"/>
    <w:basedOn w:val="Normal"/>
    <w:qFormat/>
    <w:pPr>
      <w:numPr>
        <w:numId w:val="12"/>
      </w:numPr>
    </w:pPr>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13"/>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14"/>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15"/>
      </w:numPr>
    </w:pPr>
  </w:style>
  <w:style w:type="paragraph" w:customStyle="1" w:styleId="Tablecopybulleted">
    <w:name w:val="Table copy bulleted"/>
    <w:basedOn w:val="Tablebodycopy"/>
    <w:qFormat/>
    <w:pPr>
      <w:numPr>
        <w:numId w:val="16"/>
      </w:numPr>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spacing w:after="100"/>
      <w:ind w:left="4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eastAsia="MS Mincho"/>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early-career-framework-refor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induction-for-early-career-teachers-eng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eachers-standard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yperlink" Target="https://www.gov.uk/government/publications/early-career-teacher-ect-induction-coronavirus-covid-19-absence-exemption/early-career-teacher-induction-covid-19-absence-exemp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2/1115/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b0667a-3f61-4f6b-9f66-f805ad706363" xsi:nil="true"/>
    <lcf76f155ced4ddcb4097134ff3c332f xmlns="d4e82c56-9146-4538-8994-ad72c3969b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4BAAC8912E10444BD0034FDB04E687E" ma:contentTypeVersion="18" ma:contentTypeDescription="Create a new document." ma:contentTypeScope="" ma:versionID="4aa120db889a658822577d2c75a62bbf">
  <xsd:schema xmlns:xsd="http://www.w3.org/2001/XMLSchema" xmlns:xs="http://www.w3.org/2001/XMLSchema" xmlns:p="http://schemas.microsoft.com/office/2006/metadata/properties" xmlns:ns2="d4e82c56-9146-4538-8994-ad72c3969b50" xmlns:ns3="3eb0667a-3f61-4f6b-9f66-f805ad706363" targetNamespace="http://schemas.microsoft.com/office/2006/metadata/properties" ma:root="true" ma:fieldsID="30caedaddd2a0ecaefdd878fd4c50e35" ns2:_="" ns3:_="">
    <xsd:import namespace="d4e82c56-9146-4538-8994-ad72c3969b50"/>
    <xsd:import namespace="3eb0667a-3f61-4f6b-9f66-f805ad706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82c56-9146-4538-8994-ad72c3969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c7bcee-78df-4199-b974-4290ae8b0c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0667a-3f61-4f6b-9f66-f805ad706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aa19f-bcac-4f43-a1a8-01f3bf977321}" ma:internalName="TaxCatchAll" ma:showField="CatchAllData" ma:web="3eb0667a-3f61-4f6b-9f66-f805ad706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1E5D9-6383-4D0F-8403-A2C9BD028CB2}">
  <ds:schemaRefs>
    <ds:schemaRef ds:uri="http://schemas.microsoft.com/office/2006/metadata/properties"/>
    <ds:schemaRef ds:uri="http://schemas.microsoft.com/office/infopath/2007/PartnerControls"/>
    <ds:schemaRef ds:uri="3eb0667a-3f61-4f6b-9f66-f805ad706363"/>
    <ds:schemaRef ds:uri="d4e82c56-9146-4538-8994-ad72c3969b50"/>
  </ds:schemaRefs>
</ds:datastoreItem>
</file>

<file path=customXml/itemProps2.xml><?xml version="1.0" encoding="utf-8"?>
<ds:datastoreItem xmlns:ds="http://schemas.openxmlformats.org/officeDocument/2006/customXml" ds:itemID="{659A20C1-A5B4-493F-B32A-1A6EEB0F624F}">
  <ds:schemaRefs>
    <ds:schemaRef ds:uri="http://schemas.openxmlformats.org/officeDocument/2006/bibliography"/>
  </ds:schemaRefs>
</ds:datastoreItem>
</file>

<file path=customXml/itemProps3.xml><?xml version="1.0" encoding="utf-8"?>
<ds:datastoreItem xmlns:ds="http://schemas.openxmlformats.org/officeDocument/2006/customXml" ds:itemID="{C0138BBB-441A-4926-B2D3-154ED7AF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82c56-9146-4538-8994-ad72c3969b50"/>
    <ds:schemaRef ds:uri="3eb0667a-3f61-4f6b-9f66-f805ad706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FFD89-1506-4E08-8DD8-3B0A6BD58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(3).dot</Template>
  <TotalTime>2</TotalTime>
  <Pages>8</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Links>
    <vt:vector size="72" baseType="variant">
      <vt:variant>
        <vt:i4>131160</vt:i4>
      </vt:variant>
      <vt:variant>
        <vt:i4>57</vt:i4>
      </vt:variant>
      <vt:variant>
        <vt:i4>0</vt:i4>
      </vt:variant>
      <vt:variant>
        <vt:i4>5</vt:i4>
      </vt:variant>
      <vt:variant>
        <vt:lpwstr>https://www.gov.uk/government/publications/teachers-standards</vt:lpwstr>
      </vt:variant>
      <vt:variant>
        <vt:lpwstr/>
      </vt:variant>
      <vt:variant>
        <vt:i4>2162810</vt:i4>
      </vt:variant>
      <vt:variant>
        <vt:i4>54</vt:i4>
      </vt:variant>
      <vt:variant>
        <vt:i4>0</vt:i4>
      </vt:variant>
      <vt:variant>
        <vt:i4>5</vt:i4>
      </vt:variant>
      <vt:variant>
        <vt:lpwstr>https://www.gov.uk/government/publications/early-career-teacher-ect-induction-coronavirus-covid-19-absence-exemption/early-career-teacher-induction-covid-19-absence-exemption</vt:lpwstr>
      </vt:variant>
      <vt:variant>
        <vt:lpwstr/>
      </vt:variant>
      <vt:variant>
        <vt:i4>6488100</vt:i4>
      </vt:variant>
      <vt:variant>
        <vt:i4>51</vt:i4>
      </vt:variant>
      <vt:variant>
        <vt:i4>0</vt:i4>
      </vt:variant>
      <vt:variant>
        <vt:i4>5</vt:i4>
      </vt:variant>
      <vt:variant>
        <vt:lpwstr>http://www.legislation.gov.uk/uksi/2012/1115/contents/made</vt:lpwstr>
      </vt:variant>
      <vt:variant>
        <vt:lpwstr/>
      </vt:variant>
      <vt:variant>
        <vt:i4>4194331</vt:i4>
      </vt:variant>
      <vt:variant>
        <vt:i4>48</vt:i4>
      </vt:variant>
      <vt:variant>
        <vt:i4>0</vt:i4>
      </vt:variant>
      <vt:variant>
        <vt:i4>5</vt:i4>
      </vt:variant>
      <vt:variant>
        <vt:lpwstr>https://www.gov.uk/government/collections/early-career-framework-reforms</vt:lpwstr>
      </vt:variant>
      <vt:variant>
        <vt:lpwstr/>
      </vt:variant>
      <vt:variant>
        <vt:i4>6422587</vt:i4>
      </vt:variant>
      <vt:variant>
        <vt:i4>45</vt:i4>
      </vt:variant>
      <vt:variant>
        <vt:i4>0</vt:i4>
      </vt:variant>
      <vt:variant>
        <vt:i4>5</vt:i4>
      </vt:variant>
      <vt:variant>
        <vt:lpwstr>https://www.gov.uk/government/publications/induction-for-early-career-teachers-england</vt:lpwstr>
      </vt:variant>
      <vt:variant>
        <vt:lpwstr/>
      </vt:variant>
      <vt:variant>
        <vt:i4>1114175</vt:i4>
      </vt:variant>
      <vt:variant>
        <vt:i4>38</vt:i4>
      </vt:variant>
      <vt:variant>
        <vt:i4>0</vt:i4>
      </vt:variant>
      <vt:variant>
        <vt:i4>5</vt:i4>
      </vt:variant>
      <vt:variant>
        <vt:lpwstr/>
      </vt:variant>
      <vt:variant>
        <vt:lpwstr>_Toc102642827</vt:lpwstr>
      </vt:variant>
      <vt:variant>
        <vt:i4>1114175</vt:i4>
      </vt:variant>
      <vt:variant>
        <vt:i4>32</vt:i4>
      </vt:variant>
      <vt:variant>
        <vt:i4>0</vt:i4>
      </vt:variant>
      <vt:variant>
        <vt:i4>5</vt:i4>
      </vt:variant>
      <vt:variant>
        <vt:lpwstr/>
      </vt:variant>
      <vt:variant>
        <vt:lpwstr>_Toc102642826</vt:lpwstr>
      </vt:variant>
      <vt:variant>
        <vt:i4>1114175</vt:i4>
      </vt:variant>
      <vt:variant>
        <vt:i4>26</vt:i4>
      </vt:variant>
      <vt:variant>
        <vt:i4>0</vt:i4>
      </vt:variant>
      <vt:variant>
        <vt:i4>5</vt:i4>
      </vt:variant>
      <vt:variant>
        <vt:lpwstr/>
      </vt:variant>
      <vt:variant>
        <vt:lpwstr>_Toc102642825</vt:lpwstr>
      </vt:variant>
      <vt:variant>
        <vt:i4>1114175</vt:i4>
      </vt:variant>
      <vt:variant>
        <vt:i4>20</vt:i4>
      </vt:variant>
      <vt:variant>
        <vt:i4>0</vt:i4>
      </vt:variant>
      <vt:variant>
        <vt:i4>5</vt:i4>
      </vt:variant>
      <vt:variant>
        <vt:lpwstr/>
      </vt:variant>
      <vt:variant>
        <vt:lpwstr>_Toc102642824</vt:lpwstr>
      </vt:variant>
      <vt:variant>
        <vt:i4>1114175</vt:i4>
      </vt:variant>
      <vt:variant>
        <vt:i4>14</vt:i4>
      </vt:variant>
      <vt:variant>
        <vt:i4>0</vt:i4>
      </vt:variant>
      <vt:variant>
        <vt:i4>5</vt:i4>
      </vt:variant>
      <vt:variant>
        <vt:lpwstr/>
      </vt:variant>
      <vt:variant>
        <vt:lpwstr>_Toc102642823</vt:lpwstr>
      </vt:variant>
      <vt:variant>
        <vt:i4>1114175</vt:i4>
      </vt:variant>
      <vt:variant>
        <vt:i4>8</vt:i4>
      </vt:variant>
      <vt:variant>
        <vt:i4>0</vt:i4>
      </vt:variant>
      <vt:variant>
        <vt:i4>5</vt:i4>
      </vt:variant>
      <vt:variant>
        <vt:lpwstr/>
      </vt:variant>
      <vt:variant>
        <vt:lpwstr>_Toc102642822</vt:lpwstr>
      </vt:variant>
      <vt:variant>
        <vt:i4>1114175</vt:i4>
      </vt:variant>
      <vt:variant>
        <vt:i4>2</vt:i4>
      </vt:variant>
      <vt:variant>
        <vt:i4>0</vt:i4>
      </vt:variant>
      <vt:variant>
        <vt:i4>5</vt:i4>
      </vt:variant>
      <vt:variant>
        <vt:lpwstr/>
      </vt:variant>
      <vt:variant>
        <vt:lpwstr>_Toc102642821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dc:description/>
  <cp:lastModifiedBy>Calendar Admin</cp:lastModifiedBy>
  <cp:revision>3</cp:revision>
  <cp:lastPrinted>2022-10-03T14:32:00Z</cp:lastPrinted>
  <dcterms:created xsi:type="dcterms:W3CDTF">2025-01-20T16:23:00Z</dcterms:created>
  <dcterms:modified xsi:type="dcterms:W3CDTF">2025-01-30T10:30:00Z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0x01010014BAAC8912E10444BD0034FDB04E687E</vt:lpwstr>
  </property>
</Properties>
</file>